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8.jpeg" ContentType="image/jpeg"/>
  <Override PartName="/word/media/image10.jpeg" ContentType="image/jpeg"/>
  <Override PartName="/word/media/image7.png" ContentType="image/png"/>
  <Override PartName="/word/media/image9.jpeg" ContentType="image/jpeg"/>
  <Override PartName="/word/media/image5.png" ContentType="image/png"/>
  <Override PartName="/word/media/image6.png" ContentType="image/png"/>
  <Override PartName="/word/media/image1.jpeg" ContentType="image/jpeg"/>
  <Override PartName="/word/media/image2.jpeg" ContentType="image/jpeg"/>
  <Override PartName="/word/media/image3.jpeg" ContentType="image/jpeg"/>
  <Override PartName="/word/media/image4.png" ContentType="image/png"/>
  <Override PartName="/word/fontTable.xml" ContentType="application/vnd.openxmlformats-officedocument.wordprocessingml.fontTabl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bidi w:val="0"/>
        <w:spacing w:lineRule="auto" w:line="360" w:before="0" w:after="0"/>
        <w:jc w:val="center"/>
        <w:rPr/>
      </w:pPr>
      <w:r>
        <w:rPr>
          <w:rFonts w:eastAsia="Times New Roman" w:cs="Times New Roman" w:ascii="Times New Roman" w:hAnsi="Times New Roman"/>
          <w:b/>
          <w:bCs/>
          <w:sz w:val="24"/>
          <w:szCs w:val="24"/>
          <w:lang w:eastAsia="ru-RU"/>
        </w:rPr>
        <w:t>ВАЖНЕЙШИЕ РЕЗУЛЬТАТЫ ИССЛЕДОВАНИЙ</w:t>
      </w:r>
      <w:r>
        <w:rPr>
          <w:rFonts w:eastAsia="Times New Roman" w:cs="Times New Roman" w:ascii="Times New Roman" w:hAnsi="Times New Roman"/>
          <w:b/>
          <w:bCs/>
          <w:sz w:val="24"/>
          <w:szCs w:val="24"/>
          <w:lang w:eastAsia="ru-RU"/>
        </w:rPr>
        <w:t xml:space="preserve"> </w:t>
      </w:r>
    </w:p>
    <w:p>
      <w:pPr>
        <w:pStyle w:val="Normal"/>
        <w:spacing w:lineRule="auto" w:line="360"/>
        <w:jc w:val="center"/>
        <w:rPr/>
      </w:pPr>
      <w:r>
        <w:rPr>
          <w:rFonts w:eastAsia="Times New Roman" w:cs="Times New Roman" w:ascii="Times New Roman" w:hAnsi="Times New Roman"/>
          <w:b/>
          <w:bCs/>
          <w:sz w:val="24"/>
          <w:szCs w:val="24"/>
          <w:lang w:eastAsia="ru-RU"/>
        </w:rPr>
        <w:t>С</w:t>
      </w:r>
      <w:r>
        <w:rPr>
          <w:rFonts w:eastAsia="Times New Roman" w:cs="Times New Roman" w:ascii="Times New Roman" w:hAnsi="Times New Roman"/>
          <w:b/>
          <w:bCs/>
          <w:sz w:val="24"/>
          <w:szCs w:val="24"/>
          <w:lang w:eastAsia="ru-RU"/>
        </w:rPr>
        <w:t>ОТРУДНИК</w:t>
      </w:r>
      <w:r>
        <w:rPr>
          <w:rFonts w:eastAsia="Times New Roman" w:cs="Times New Roman" w:ascii="Times New Roman" w:hAnsi="Times New Roman"/>
          <w:b/>
          <w:bCs/>
          <w:sz w:val="24"/>
          <w:szCs w:val="24"/>
          <w:lang w:eastAsia="ru-RU"/>
        </w:rPr>
        <w:t xml:space="preserve">ОВ </w:t>
      </w:r>
      <w:r>
        <w:rPr>
          <w:rFonts w:eastAsia="Times New Roman" w:cs="Times New Roman" w:ascii="Times New Roman" w:hAnsi="Times New Roman"/>
          <w:b/>
          <w:bCs/>
          <w:sz w:val="24"/>
          <w:szCs w:val="24"/>
          <w:lang w:eastAsia="ru-RU"/>
        </w:rPr>
        <w:t xml:space="preserve">ТОИ ДВО РАН </w:t>
      </w:r>
    </w:p>
    <w:p>
      <w:pPr>
        <w:pStyle w:val="Normal"/>
        <w:spacing w:lineRule="auto" w:line="360"/>
        <w:jc w:val="both"/>
        <w:rPr>
          <w:rFonts w:ascii="Times New Roman" w:hAnsi="Times New Roman" w:eastAsia="Calibri" w:cs="Times New Roman"/>
          <w:sz w:val="24"/>
          <w:szCs w:val="24"/>
        </w:rPr>
      </w:pPr>
      <w:r>
        <w:rPr>
          <w:rFonts w:eastAsia="Times New Roman" w:cs="Times New Roman" w:ascii="Times New Roman" w:hAnsi="Times New Roman"/>
          <w:bCs/>
          <w:sz w:val="24"/>
          <w:szCs w:val="24"/>
          <w:lang w:eastAsia="ru-RU"/>
        </w:rPr>
        <w:t>По итогам 2021 года были отобраны 7 научных работ</w:t>
      </w:r>
      <w:bookmarkStart w:id="0" w:name="_GoBack"/>
      <w:bookmarkEnd w:id="0"/>
      <w:r>
        <w:rPr>
          <w:rFonts w:eastAsia="Times New Roman" w:cs="Times New Roman" w:ascii="Times New Roman" w:hAnsi="Times New Roman"/>
          <w:bCs/>
          <w:sz w:val="24"/>
          <w:szCs w:val="24"/>
          <w:lang w:eastAsia="ru-RU"/>
        </w:rPr>
        <w:t xml:space="preserve">. </w:t>
      </w:r>
    </w:p>
    <w:p>
      <w:pPr>
        <w:pStyle w:val="Normal"/>
        <w:spacing w:lineRule="auto" w:line="360"/>
        <w:jc w:val="both"/>
        <w:rPr>
          <w:rFonts w:ascii="Times New Roman" w:hAnsi="Times New Roman" w:eastAsia="SimSun" w:cs="Times New Roman"/>
          <w:b/>
          <w:b/>
          <w:sz w:val="24"/>
          <w:szCs w:val="24"/>
        </w:rPr>
      </w:pPr>
      <w:r>
        <w:rPr>
          <w:rFonts w:eastAsia="Calibri" w:cs="Times New Roman" w:ascii="Times New Roman" w:hAnsi="Times New Roman"/>
          <w:sz w:val="24"/>
          <w:szCs w:val="24"/>
        </w:rPr>
        <w:t>1.</w:t>
      </w:r>
      <w:r>
        <w:rPr>
          <w:rFonts w:eastAsia="SimSun" w:cs="Times New Roman" w:ascii="Times New Roman" w:hAnsi="Times New Roman"/>
          <w:sz w:val="24"/>
          <w:szCs w:val="24"/>
        </w:rPr>
        <w:t xml:space="preserve"> Изучены параметры продуктивности вод, влияния морских льдов и количественный и видовой состав диатомовых водорослей в морских осадках керна из средней части хребта Ширшова для реконструкции ледниково-межледниковых и тысячелетних изменений среды и климата юго-западной части Берингова моря за последние два ледниковых цикла (последние 190 тысяч лет). Продуктивность вод и обилие диатомей в осадках изучаемого района значительно возрастали во время теплых эпох (изотопно-кислородных стадий (ИКС) и теплых тысячелетних интерстадиалов, установленных ранее в кернах льда Гренландии (</w:t>
      </w:r>
      <w:r>
        <w:rPr>
          <w:rFonts w:eastAsia="SimSun" w:cs="Times New Roman" w:ascii="Times New Roman" w:hAnsi="Times New Roman"/>
          <w:sz w:val="24"/>
          <w:szCs w:val="24"/>
          <w:lang w:val="en-US"/>
        </w:rPr>
        <w:t>Rassmussen</w:t>
      </w:r>
      <w:r>
        <w:rPr>
          <w:rFonts w:eastAsia="SimSun" w:cs="Times New Roman" w:ascii="Times New Roman" w:hAnsi="Times New Roman"/>
          <w:sz w:val="24"/>
          <w:szCs w:val="24"/>
        </w:rPr>
        <w:t xml:space="preserve"> </w:t>
      </w:r>
      <w:r>
        <w:rPr>
          <w:rFonts w:eastAsia="SimSun" w:cs="Times New Roman" w:ascii="Times New Roman" w:hAnsi="Times New Roman"/>
          <w:sz w:val="24"/>
          <w:szCs w:val="24"/>
          <w:lang w:val="en-US"/>
        </w:rPr>
        <w:t>et</w:t>
      </w:r>
      <w:r>
        <w:rPr>
          <w:rFonts w:eastAsia="SimSun" w:cs="Times New Roman" w:ascii="Times New Roman" w:hAnsi="Times New Roman"/>
          <w:sz w:val="24"/>
          <w:szCs w:val="24"/>
        </w:rPr>
        <w:t xml:space="preserve"> </w:t>
      </w:r>
      <w:r>
        <w:rPr>
          <w:rFonts w:eastAsia="SimSun" w:cs="Times New Roman" w:ascii="Times New Roman" w:hAnsi="Times New Roman"/>
          <w:sz w:val="24"/>
          <w:szCs w:val="24"/>
          <w:lang w:val="en-US"/>
        </w:rPr>
        <w:t>al</w:t>
      </w:r>
      <w:r>
        <w:rPr>
          <w:rFonts w:eastAsia="SimSun" w:cs="Times New Roman" w:ascii="Times New Roman" w:hAnsi="Times New Roman"/>
          <w:sz w:val="24"/>
          <w:szCs w:val="24"/>
        </w:rPr>
        <w:t>., 2014) и восточноазиатских муссонах (</w:t>
      </w:r>
      <w:r>
        <w:rPr>
          <w:rFonts w:eastAsia="SimSun" w:cs="Times New Roman" w:ascii="Times New Roman" w:hAnsi="Times New Roman"/>
          <w:sz w:val="24"/>
          <w:szCs w:val="24"/>
          <w:lang w:val="en-US"/>
        </w:rPr>
        <w:t>Cheng</w:t>
      </w:r>
      <w:r>
        <w:rPr>
          <w:rFonts w:eastAsia="SimSun" w:cs="Times New Roman" w:ascii="Times New Roman" w:hAnsi="Times New Roman"/>
          <w:sz w:val="24"/>
          <w:szCs w:val="24"/>
        </w:rPr>
        <w:t xml:space="preserve"> </w:t>
      </w:r>
      <w:r>
        <w:rPr>
          <w:rFonts w:eastAsia="SimSun" w:cs="Times New Roman" w:ascii="Times New Roman" w:hAnsi="Times New Roman"/>
          <w:sz w:val="24"/>
          <w:szCs w:val="24"/>
          <w:lang w:val="en-US"/>
        </w:rPr>
        <w:t>et</w:t>
      </w:r>
      <w:r>
        <w:rPr>
          <w:rFonts w:eastAsia="SimSun" w:cs="Times New Roman" w:ascii="Times New Roman" w:hAnsi="Times New Roman"/>
          <w:sz w:val="24"/>
          <w:szCs w:val="24"/>
        </w:rPr>
        <w:t xml:space="preserve"> </w:t>
      </w:r>
      <w:r>
        <w:rPr>
          <w:rFonts w:eastAsia="SimSun" w:cs="Times New Roman" w:ascii="Times New Roman" w:hAnsi="Times New Roman"/>
          <w:sz w:val="24"/>
          <w:szCs w:val="24"/>
          <w:lang w:val="en-US"/>
        </w:rPr>
        <w:t>al</w:t>
      </w:r>
      <w:r>
        <w:rPr>
          <w:rFonts w:eastAsia="SimSun" w:cs="Times New Roman" w:ascii="Times New Roman" w:hAnsi="Times New Roman"/>
          <w:sz w:val="24"/>
          <w:szCs w:val="24"/>
        </w:rPr>
        <w:t>., 2016). Влияние морских льдов в изученном районе, контролируемое изменениями климата, напротив, резко возрастало во время холодных ИКС и холодных стадиалов. Обилие диатомовых водорослей и их видовой состав, отражающие параметры поверхностных вод, чутко реагировали на ледниково-межледниковые и тысячелетние изменения глобального климата синхронно региональным вариациям продуктивности и морских льдов. (</w:t>
      </w:r>
      <w:r>
        <w:rPr>
          <w:rFonts w:eastAsia="SimSun" w:cs="Times New Roman" w:ascii="Times New Roman" w:hAnsi="Times New Roman"/>
          <w:b/>
          <w:sz w:val="24"/>
          <w:szCs w:val="24"/>
        </w:rPr>
        <w:t>С.А. Горбаренко (ТОИ ДВО РАН), Малахова Г.Ю. (СВКНИИ ДВО РАН)</w:t>
      </w:r>
    </w:p>
    <w:p>
      <w:pPr>
        <w:pStyle w:val="Normal"/>
        <w:spacing w:lineRule="auto" w:line="360"/>
        <w:jc w:val="center"/>
        <w:rPr>
          <w:rFonts w:ascii="Times New Roman" w:hAnsi="Times New Roman" w:eastAsia="SimSun" w:cs="Times New Roman"/>
          <w:sz w:val="24"/>
          <w:szCs w:val="24"/>
        </w:rPr>
      </w:pPr>
      <w:r>
        <w:rPr/>
        <w:drawing>
          <wp:inline distT="0" distB="0" distL="0" distR="0">
            <wp:extent cx="4648200" cy="2635250"/>
            <wp:effectExtent l="0" t="0" r="0" b="0"/>
            <wp:docPr id="1" name="Рисунок 10" descr="G:\Work\Cherepan\результаты за 2021 год\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0" descr="G:\Work\Cherepan\результаты за 2021 год\Рис. 1+.jpg"/>
                    <pic:cNvPicPr>
                      <a:picLocks noChangeAspect="1" noChangeArrowheads="1"/>
                    </pic:cNvPicPr>
                  </pic:nvPicPr>
                  <pic:blipFill>
                    <a:blip r:embed="rId2"/>
                    <a:stretch>
                      <a:fillRect/>
                    </a:stretch>
                  </pic:blipFill>
                  <pic:spPr bwMode="auto">
                    <a:xfrm>
                      <a:off x="0" y="0"/>
                      <a:ext cx="4648200" cy="2635250"/>
                    </a:xfrm>
                    <a:prstGeom prst="rect">
                      <a:avLst/>
                    </a:prstGeom>
                  </pic:spPr>
                </pic:pic>
              </a:graphicData>
            </a:graphic>
          </wp:inline>
        </w:drawing>
      </w:r>
    </w:p>
    <w:p>
      <w:pPr>
        <w:pStyle w:val="Normal"/>
        <w:spacing w:lineRule="auto" w:line="240" w:before="0" w:after="0"/>
        <w:jc w:val="both"/>
        <w:rPr>
          <w:rFonts w:ascii="Times New Roman" w:hAnsi="Times New Roman" w:eastAsia="SimSun" w:cs="Times New Roman"/>
          <w:i/>
          <w:i/>
          <w:sz w:val="24"/>
          <w:szCs w:val="24"/>
        </w:rPr>
      </w:pPr>
      <w:r>
        <w:rPr>
          <w:rFonts w:eastAsia="SimSun" w:cs="Times New Roman" w:ascii="Times New Roman" w:hAnsi="Times New Roman"/>
          <w:i/>
          <w:sz w:val="24"/>
          <w:szCs w:val="24"/>
        </w:rPr>
        <w:t xml:space="preserve">Рисунок 1. Ледниково-межледниковые и тысячелетние изменения продуктивности, влияния морских льдов и среды поверхностных вод (по данным диатомового анализа) юго-западной части Берингова моря за последние два ледниковых цикла (последние 190 тысяч лет). А. Изотопно-кислородные стадии (ИКС), ответственные за ледниково-межледниковые периоды (синие полосы-холодные периоды/стадии). Теплые - тысячелетние интерстадиалы Гренландского ледового керна и азиатских муссонов (вертикальные линии). Б – % </w:t>
      </w:r>
      <w:r>
        <w:rPr>
          <w:rFonts w:eastAsia="SimSun" w:cs="Times New Roman" w:ascii="Times New Roman" w:hAnsi="Times New Roman"/>
          <w:i/>
          <w:sz w:val="24"/>
          <w:szCs w:val="24"/>
          <w:lang w:val="en-US" w:eastAsia="zh-CN"/>
        </w:rPr>
        <w:t>Thalassiosira</w:t>
      </w:r>
      <w:r>
        <w:rPr>
          <w:rFonts w:eastAsia="SimSun" w:cs="Times New Roman" w:ascii="Times New Roman" w:hAnsi="Times New Roman"/>
          <w:i/>
          <w:sz w:val="24"/>
          <w:szCs w:val="24"/>
          <w:lang w:eastAsia="zh-CN"/>
        </w:rPr>
        <w:t xml:space="preserve"> </w:t>
      </w:r>
      <w:r>
        <w:rPr>
          <w:rFonts w:eastAsia="SimSun" w:cs="Times New Roman" w:ascii="Times New Roman" w:hAnsi="Times New Roman"/>
          <w:i/>
          <w:sz w:val="24"/>
          <w:szCs w:val="24"/>
          <w:lang w:val="en-US" w:eastAsia="zh-CN"/>
        </w:rPr>
        <w:t>antarctica</w:t>
      </w:r>
      <w:r>
        <w:rPr>
          <w:rFonts w:eastAsia="SimSun" w:cs="Times New Roman" w:ascii="Times New Roman" w:hAnsi="Times New Roman"/>
          <w:i/>
          <w:sz w:val="24"/>
          <w:szCs w:val="24"/>
          <w:lang w:eastAsia="zh-CN"/>
        </w:rPr>
        <w:t xml:space="preserve">, В – % приледных видов, Г – % </w:t>
      </w:r>
      <w:r>
        <w:rPr>
          <w:rFonts w:eastAsia="SimSun" w:cs="Times New Roman" w:ascii="Times New Roman" w:hAnsi="Times New Roman"/>
          <w:i/>
          <w:sz w:val="24"/>
          <w:szCs w:val="24"/>
          <w:lang w:val="en-US" w:eastAsia="zh-CN"/>
        </w:rPr>
        <w:t>Neodenticula</w:t>
      </w:r>
      <w:r>
        <w:rPr>
          <w:rFonts w:eastAsia="SimSun" w:cs="Times New Roman" w:ascii="Times New Roman" w:hAnsi="Times New Roman"/>
          <w:i/>
          <w:sz w:val="24"/>
          <w:szCs w:val="24"/>
          <w:lang w:eastAsia="zh-CN"/>
        </w:rPr>
        <w:t xml:space="preserve"> </w:t>
      </w:r>
      <w:r>
        <w:rPr>
          <w:rFonts w:eastAsia="SimSun" w:cs="Times New Roman" w:ascii="Times New Roman" w:hAnsi="Times New Roman"/>
          <w:i/>
          <w:sz w:val="24"/>
          <w:szCs w:val="24"/>
          <w:lang w:val="en-US" w:eastAsia="zh-CN"/>
        </w:rPr>
        <w:t>seminae</w:t>
      </w:r>
      <w:r>
        <w:rPr>
          <w:rFonts w:eastAsia="SimSun" w:cs="Times New Roman" w:ascii="Times New Roman" w:hAnsi="Times New Roman"/>
          <w:i/>
          <w:sz w:val="24"/>
          <w:szCs w:val="24"/>
          <w:lang w:eastAsia="zh-CN"/>
        </w:rPr>
        <w:t>. Д, обилие диатомей. Е, продуктивность и влияние морских льдов (пурпурная и красная линии, соответственно, относительные единицы).</w:t>
      </w:r>
    </w:p>
    <w:p>
      <w:pPr>
        <w:pStyle w:val="Normal"/>
        <w:rPr>
          <w:rFonts w:ascii="Times New Roman" w:hAnsi="Times New Roman" w:cs="Times New Roman"/>
          <w:bCs/>
          <w:color w:val="202124"/>
          <w:sz w:val="24"/>
          <w:szCs w:val="24"/>
          <w:highlight w:val="white"/>
        </w:rPr>
      </w:pPr>
      <w:r>
        <w:rPr>
          <w:rFonts w:eastAsia="SimSun" w:cs="Times New Roman" w:ascii="Times New Roman" w:hAnsi="Times New Roman"/>
          <w:sz w:val="24"/>
          <w:szCs w:val="24"/>
          <w:lang w:val="en-US"/>
        </w:rPr>
        <w:t xml:space="preserve">Gorbarenko S., Malakhova G. Orbital and suborbital environmental changes in the Western Bering Sea during the last 172 ka inferred from Diatom and Productivity Proxies // </w:t>
      </w:r>
      <w:r>
        <w:rPr>
          <w:rFonts w:eastAsia="CharisSIL" w:cs="Times New Roman" w:ascii="Times New Roman" w:hAnsi="Times New Roman"/>
          <w:b/>
          <w:sz w:val="24"/>
          <w:szCs w:val="24"/>
          <w:lang w:val="en-US"/>
        </w:rPr>
        <w:t>Global and Planetary Change</w:t>
      </w:r>
      <w:r>
        <w:rPr>
          <w:rFonts w:eastAsia="CharisSIL" w:cs="Times New Roman" w:ascii="Times New Roman" w:hAnsi="Times New Roman"/>
          <w:sz w:val="24"/>
          <w:szCs w:val="24"/>
          <w:lang w:val="en-US"/>
        </w:rPr>
        <w:t xml:space="preserve">. </w:t>
      </w:r>
      <w:r>
        <w:rPr>
          <w:rFonts w:eastAsia="SimSun" w:cs="Times New Roman" w:ascii="Times New Roman" w:hAnsi="Times New Roman"/>
          <w:sz w:val="24"/>
          <w:szCs w:val="24"/>
        </w:rPr>
        <w:t xml:space="preserve">2021. </w:t>
      </w:r>
      <w:r>
        <w:rPr>
          <w:rFonts w:eastAsia="SimSun" w:cs="Times New Roman" w:ascii="Times New Roman" w:hAnsi="Times New Roman"/>
          <w:sz w:val="24"/>
          <w:szCs w:val="24"/>
          <w:lang w:val="en-US"/>
        </w:rPr>
        <w:t>V</w:t>
      </w:r>
      <w:r>
        <w:rPr>
          <w:rFonts w:eastAsia="SimSun" w:cs="Times New Roman" w:ascii="Times New Roman" w:hAnsi="Times New Roman"/>
          <w:sz w:val="24"/>
          <w:szCs w:val="24"/>
        </w:rPr>
        <w:t xml:space="preserve">. </w:t>
      </w:r>
      <w:r>
        <w:rPr>
          <w:rFonts w:eastAsia="CharisSIL" w:cs="Times New Roman" w:ascii="Times New Roman" w:hAnsi="Times New Roman"/>
          <w:sz w:val="24"/>
          <w:szCs w:val="24"/>
        </w:rPr>
        <w:t xml:space="preserve">198. 103405. </w:t>
      </w:r>
      <w:r>
        <w:rPr>
          <w:rFonts w:cs="Times New Roman" w:ascii="Times New Roman" w:hAnsi="Times New Roman"/>
          <w:sz w:val="24"/>
          <w:szCs w:val="24"/>
        </w:rPr>
        <w:t>(</w:t>
      </w:r>
      <w:r>
        <w:rPr>
          <w:rFonts w:cs="Times New Roman" w:ascii="Times New Roman" w:hAnsi="Times New Roman"/>
          <w:b/>
          <w:bCs/>
          <w:sz w:val="24"/>
          <w:szCs w:val="24"/>
          <w:lang w:val="en-US"/>
        </w:rPr>
        <w:t>Q</w:t>
      </w:r>
      <w:r>
        <w:rPr>
          <w:rFonts w:cs="Times New Roman" w:ascii="Times New Roman" w:hAnsi="Times New Roman"/>
          <w:b/>
          <w:bCs/>
          <w:sz w:val="24"/>
          <w:szCs w:val="24"/>
        </w:rPr>
        <w:t xml:space="preserve">1 </w:t>
      </w:r>
      <w:r>
        <w:rPr>
          <w:rFonts w:cs="Times New Roman" w:ascii="Times New Roman" w:hAnsi="Times New Roman"/>
          <w:b/>
          <w:bCs/>
          <w:sz w:val="24"/>
          <w:szCs w:val="24"/>
          <w:lang w:val="en-US"/>
        </w:rPr>
        <w:t>WoS</w:t>
      </w:r>
      <w:r>
        <w:rPr>
          <w:rFonts w:cs="Times New Roman" w:ascii="Times New Roman" w:hAnsi="Times New Roman"/>
          <w:b/>
          <w:bCs/>
          <w:sz w:val="24"/>
          <w:szCs w:val="24"/>
        </w:rPr>
        <w:t xml:space="preserve">  </w:t>
      </w:r>
      <w:r>
        <w:rPr>
          <w:rFonts w:cs="Times New Roman" w:ascii="Times New Roman" w:hAnsi="Times New Roman"/>
          <w:b/>
          <w:bCs/>
          <w:sz w:val="24"/>
          <w:szCs w:val="24"/>
          <w:lang w:val="en-US"/>
        </w:rPr>
        <w:t>IF</w:t>
      </w:r>
      <w:r>
        <w:rPr>
          <w:rFonts w:cs="Times New Roman" w:ascii="Times New Roman" w:hAnsi="Times New Roman"/>
          <w:b/>
          <w:bCs/>
          <w:sz w:val="24"/>
          <w:szCs w:val="24"/>
        </w:rPr>
        <w:t xml:space="preserve"> =</w:t>
      </w:r>
      <w:r>
        <w:rPr>
          <w:rFonts w:cs="Times New Roman" w:ascii="Times New Roman" w:hAnsi="Times New Roman"/>
          <w:b/>
          <w:bCs/>
          <w:color w:val="202124"/>
          <w:sz w:val="24"/>
          <w:szCs w:val="24"/>
          <w:shd w:fill="FFFFFF" w:val="clear"/>
        </w:rPr>
        <w:t>5,114</w:t>
      </w:r>
      <w:r>
        <w:rPr>
          <w:rFonts w:cs="Times New Roman" w:ascii="Times New Roman" w:hAnsi="Times New Roman"/>
          <w:bCs/>
          <w:color w:val="202124"/>
          <w:sz w:val="24"/>
          <w:szCs w:val="24"/>
          <w:shd w:fill="FFFFFF" w:val="clear"/>
        </w:rPr>
        <w:t>)</w:t>
      </w:r>
    </w:p>
    <w:p>
      <w:pPr>
        <w:pStyle w:val="Normal"/>
        <w:spacing w:lineRule="auto" w:line="276" w:before="0" w:after="200"/>
        <w:rPr/>
      </w:pPr>
      <w:r>
        <w:rPr/>
      </w:r>
      <w:r>
        <w:br w:type="page"/>
      </w:r>
    </w:p>
    <w:p>
      <w:pPr>
        <w:pStyle w:val="Normal"/>
        <w:tabs>
          <w:tab w:val="left" w:pos="90" w:leader="none"/>
        </w:tabs>
        <w:spacing w:lineRule="auto" w:line="360" w:before="0" w:after="0"/>
        <w:jc w:val="both"/>
        <w:rPr>
          <w:rFonts w:ascii="Times New Roman" w:hAnsi="Times New Roman" w:cs="Times New Roman"/>
          <w:b/>
          <w:b/>
          <w:bCs/>
          <w:sz w:val="24"/>
          <w:szCs w:val="24"/>
        </w:rPr>
      </w:pPr>
      <w:r>
        <w:rPr>
          <w:rStyle w:val="Jlqj4b"/>
          <w:rFonts w:cs="Times New Roman" w:ascii="Times New Roman" w:hAnsi="Times New Roman"/>
          <w:sz w:val="24"/>
          <w:szCs w:val="24"/>
        </w:rPr>
        <w:t xml:space="preserve">2. Выполнен анализ связи мест уловов сайры с гидрологическими фронтами в океане на основе предложенной концепции лагранжевых фронтов и базы данных положения судов в районе Курильских о-в. Для промысловых сезонов 2004–2019 гг. вычислены ежесуточные лагранжевы карты в альтиметрическом поле скорости. Статистический анализ показал сильную корреляцию мест уловов с положениями устойчивых фронтов с большими значениями показателя Ляпунова и его градиента. В 2004 -2014 гг. лагранжевы фронты с благоприятными для промысла условиями формировались вокруг квазистационарных хоккайдских и буссольских антициклонов и на границах 1-й и 2-й ветвей течения Ойясио с повышенным содержанием питательных веществ (рис.1). Катастрофическое снижение уловов, начиная с 2015 г., мы связали с изменением 3-ей ветви Ойясио. Благоприятными факторами для смещения рыболовных угодий из </w:t>
      </w:r>
      <w:r>
        <w:rPr>
          <w:rFonts w:cs="Times New Roman" w:ascii="Times New Roman" w:hAnsi="Times New Roman"/>
          <w:sz w:val="24"/>
          <w:szCs w:val="24"/>
        </w:rPr>
        <w:t xml:space="preserve">традиционных прибрежных районов южных Курил и Хоккайдо </w:t>
      </w:r>
      <w:r>
        <w:rPr>
          <w:rStyle w:val="Jlqj4b"/>
          <w:rFonts w:cs="Times New Roman" w:ascii="Times New Roman" w:hAnsi="Times New Roman"/>
          <w:sz w:val="24"/>
          <w:szCs w:val="24"/>
        </w:rPr>
        <w:t xml:space="preserve">на восток </w:t>
      </w:r>
      <w:r>
        <w:rPr>
          <w:rFonts w:cs="Times New Roman" w:ascii="Times New Roman" w:hAnsi="Times New Roman"/>
          <w:sz w:val="24"/>
          <w:szCs w:val="24"/>
        </w:rPr>
        <w:t>в открытый океан</w:t>
      </w:r>
      <w:r>
        <w:rPr>
          <w:rStyle w:val="Jlqj4b"/>
          <w:rFonts w:cs="Times New Roman" w:ascii="Times New Roman" w:hAnsi="Times New Roman"/>
          <w:sz w:val="24"/>
          <w:szCs w:val="24"/>
        </w:rPr>
        <w:t xml:space="preserve"> стали и</w:t>
      </w:r>
      <w:r>
        <w:rPr>
          <w:rFonts w:cs="Times New Roman" w:ascii="Times New Roman" w:hAnsi="Times New Roman"/>
          <w:sz w:val="24"/>
          <w:szCs w:val="24"/>
        </w:rPr>
        <w:t xml:space="preserve">нтенсификация 3-ей ветви </w:t>
      </w:r>
      <w:r>
        <w:rPr>
          <w:rStyle w:val="Jlqj4b"/>
          <w:rFonts w:cs="Times New Roman" w:ascii="Times New Roman" w:hAnsi="Times New Roman"/>
          <w:sz w:val="24"/>
          <w:szCs w:val="24"/>
        </w:rPr>
        <w:t xml:space="preserve">и </w:t>
      </w:r>
      <w:r>
        <w:rPr>
          <w:rFonts w:cs="Times New Roman" w:ascii="Times New Roman" w:hAnsi="Times New Roman"/>
          <w:sz w:val="24"/>
          <w:szCs w:val="24"/>
        </w:rPr>
        <w:t xml:space="preserve">увеличение транспорта вод Ойясио </w:t>
      </w:r>
      <w:r>
        <w:rPr>
          <w:rStyle w:val="Jlqj4b"/>
          <w:rFonts w:cs="Times New Roman" w:ascii="Times New Roman" w:hAnsi="Times New Roman"/>
          <w:sz w:val="24"/>
          <w:szCs w:val="24"/>
        </w:rPr>
        <w:t>в 2015 – 2019 гг. П</w:t>
      </w:r>
      <w:r>
        <w:rPr>
          <w:rFonts w:cs="Times New Roman" w:ascii="Times New Roman" w:hAnsi="Times New Roman"/>
          <w:bCs/>
          <w:sz w:val="24"/>
          <w:szCs w:val="24"/>
        </w:rPr>
        <w:t xml:space="preserve">редложена методика оперативного прогноза </w:t>
      </w:r>
      <w:r>
        <w:rPr>
          <w:rFonts w:eastAsia="Calibri" w:cs="Times New Roman" w:ascii="Times New Roman" w:hAnsi="Times New Roman"/>
          <w:sz w:val="24"/>
          <w:szCs w:val="24"/>
        </w:rPr>
        <w:t>перспективных мест лова</w:t>
      </w:r>
      <w:r>
        <w:rPr>
          <w:rFonts w:cs="Times New Roman" w:ascii="Times New Roman" w:hAnsi="Times New Roman"/>
          <w:bCs/>
          <w:sz w:val="24"/>
          <w:szCs w:val="24"/>
        </w:rPr>
        <w:t xml:space="preserve"> на основе ежесуточного вычисления лагранжевых фронтов в режиме реального времени и даны рекомендации ихтиологам и рыбакам по трендам изменения океанографической обстановки в районе лова в последние годы. (</w:t>
      </w:r>
      <w:r>
        <w:rPr>
          <w:rFonts w:cs="Times New Roman" w:ascii="Times New Roman" w:hAnsi="Times New Roman"/>
          <w:b/>
          <w:bCs/>
          <w:sz w:val="24"/>
          <w:szCs w:val="24"/>
        </w:rPr>
        <w:t>С.В. Пранц,</w:t>
      </w:r>
      <w:r>
        <w:rPr>
          <w:rFonts w:cs="Times New Roman" w:ascii="Times New Roman" w:hAnsi="Times New Roman"/>
          <w:b/>
          <w:sz w:val="24"/>
          <w:szCs w:val="24"/>
        </w:rPr>
        <w:t xml:space="preserve"> М.В. Будянский, </w:t>
      </w:r>
      <w:r>
        <w:rPr>
          <w:rFonts w:cs="Times New Roman" w:ascii="Times New Roman" w:hAnsi="Times New Roman"/>
          <w:b/>
          <w:bCs/>
          <w:sz w:val="24"/>
          <w:szCs w:val="24"/>
        </w:rPr>
        <w:t>М.Ю. Улейский (ТОИ)</w:t>
      </w:r>
      <w:r>
        <w:rPr>
          <w:rFonts w:cs="Times New Roman" w:ascii="Times New Roman" w:hAnsi="Times New Roman"/>
          <w:b/>
          <w:sz w:val="24"/>
          <w:szCs w:val="24"/>
        </w:rPr>
        <w:t xml:space="preserve">, </w:t>
      </w:r>
      <w:r>
        <w:rPr>
          <w:rFonts w:eastAsia="Calibri" w:cs="Times New Roman" w:ascii="Times New Roman" w:hAnsi="Times New Roman"/>
          <w:b/>
          <w:bCs/>
          <w:sz w:val="24"/>
          <w:szCs w:val="24"/>
        </w:rPr>
        <w:t>В.В. Кулик (ТИНРО)</w:t>
      </w:r>
      <w:r>
        <w:rPr>
          <w:rFonts w:cs="Times New Roman" w:ascii="Times New Roman" w:hAnsi="Times New Roman"/>
          <w:b/>
          <w:bCs/>
          <w:sz w:val="24"/>
          <w:szCs w:val="24"/>
        </w:rPr>
        <w:t>.</w:t>
      </w:r>
    </w:p>
    <w:tbl>
      <w:tblPr>
        <w:tblStyle w:val="a3"/>
        <w:tblW w:w="9355" w:type="dxa"/>
        <w:jc w:val="left"/>
        <w:tblInd w:w="0" w:type="dxa"/>
        <w:tblCellMar>
          <w:top w:w="0" w:type="dxa"/>
          <w:left w:w="108" w:type="dxa"/>
          <w:bottom w:w="0" w:type="dxa"/>
          <w:right w:w="108" w:type="dxa"/>
        </w:tblCellMar>
        <w:tblLook w:val="04a0" w:noVBand="1" w:noHBand="0" w:firstRow="1" w:lastRow="0" w:firstColumn="1" w:lastColumn="0"/>
      </w:tblPr>
      <w:tblGrid>
        <w:gridCol w:w="3802"/>
        <w:gridCol w:w="5552"/>
      </w:tblGrid>
      <w:tr>
        <w:trPr/>
        <w:tc>
          <w:tcPr>
            <w:tcW w:w="3802" w:type="dxa"/>
            <w:tcBorders>
              <w:top w:val="nil"/>
              <w:left w:val="nil"/>
              <w:bottom w:val="nil"/>
              <w:right w:val="nil"/>
              <w:insideH w:val="nil"/>
              <w:insideV w:val="nil"/>
            </w:tcBorders>
            <w:shd w:fill="auto" w:val="clear"/>
          </w:tcPr>
          <w:p>
            <w:pPr>
              <w:pStyle w:val="Normal"/>
              <w:tabs>
                <w:tab w:val="left" w:pos="90" w:leader="none"/>
              </w:tabs>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r>
          </w:p>
          <w:p>
            <w:pPr>
              <w:pStyle w:val="Normal"/>
              <w:tabs>
                <w:tab w:val="left" w:pos="90" w:leader="none"/>
              </w:tabs>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r>
          </w:p>
          <w:p>
            <w:pPr>
              <w:pStyle w:val="Normal"/>
              <w:tabs>
                <w:tab w:val="left" w:pos="90" w:leader="none"/>
              </w:tabs>
              <w:spacing w:lineRule="auto" w:line="240" w:before="0" w:after="0"/>
              <w:jc w:val="both"/>
              <w:rPr>
                <w:rFonts w:ascii="Times New Roman" w:hAnsi="Times New Roman" w:cs="Times New Roman"/>
                <w:bCs/>
                <w:sz w:val="24"/>
                <w:szCs w:val="24"/>
              </w:rPr>
            </w:pPr>
            <w:r>
              <w:rPr/>
              <w:drawing>
                <wp:inline distT="0" distB="0" distL="0" distR="0">
                  <wp:extent cx="2535555" cy="1336040"/>
                  <wp:effectExtent l="0" t="0" r="0" b="0"/>
                  <wp:docPr id="2" name="Рисунок 0" desc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0" descr="fig1.jpg"/>
                          <pic:cNvPicPr>
                            <a:picLocks noChangeAspect="1" noChangeArrowheads="1"/>
                          </pic:cNvPicPr>
                        </pic:nvPicPr>
                        <pic:blipFill>
                          <a:blip r:embed="rId3"/>
                          <a:stretch>
                            <a:fillRect/>
                          </a:stretch>
                        </pic:blipFill>
                        <pic:spPr bwMode="auto">
                          <a:xfrm>
                            <a:off x="0" y="0"/>
                            <a:ext cx="2535555" cy="1336040"/>
                          </a:xfrm>
                          <a:prstGeom prst="rect">
                            <a:avLst/>
                          </a:prstGeom>
                        </pic:spPr>
                      </pic:pic>
                    </a:graphicData>
                  </a:graphic>
                </wp:inline>
              </w:drawing>
            </w:r>
            <w:r>
              <w:rPr>
                <w:rFonts w:cs="Times New Roman" w:ascii="Times New Roman" w:hAnsi="Times New Roman"/>
                <w:bCs/>
                <w:sz w:val="24"/>
                <w:szCs w:val="24"/>
              </w:rPr>
              <w:t xml:space="preserve"> </w:t>
            </w:r>
          </w:p>
          <w:p>
            <w:pPr>
              <w:pStyle w:val="Normal"/>
              <w:tabs>
                <w:tab w:val="left" w:pos="90" w:leader="none"/>
              </w:tabs>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А</w:t>
            </w:r>
          </w:p>
        </w:tc>
        <w:tc>
          <w:tcPr>
            <w:tcW w:w="5552" w:type="dxa"/>
            <w:tcBorders>
              <w:top w:val="nil"/>
              <w:left w:val="nil"/>
              <w:bottom w:val="nil"/>
              <w:right w:val="nil"/>
              <w:insideH w:val="nil"/>
              <w:insideV w:val="nil"/>
            </w:tcBorders>
            <w:shd w:fill="auto" w:val="clear"/>
          </w:tcPr>
          <w:p>
            <w:pPr>
              <w:pStyle w:val="Normal"/>
              <w:tabs>
                <w:tab w:val="left" w:pos="90" w:leader="none"/>
              </w:tabs>
              <w:spacing w:lineRule="auto" w:line="240" w:before="0" w:after="0"/>
              <w:jc w:val="both"/>
              <w:rPr>
                <w:rFonts w:ascii="Times New Roman" w:hAnsi="Times New Roman" w:cs="Times New Roman"/>
                <w:bCs/>
                <w:sz w:val="24"/>
                <w:szCs w:val="24"/>
              </w:rPr>
            </w:pPr>
            <w:r>
              <w:rPr/>
              <w:drawing>
                <wp:inline distT="0" distB="0" distL="0" distR="0">
                  <wp:extent cx="3772535" cy="2066290"/>
                  <wp:effectExtent l="0" t="0" r="0" b="0"/>
                  <wp:docPr id="3"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0" descr=""/>
                          <pic:cNvPicPr>
                            <a:picLocks noChangeAspect="1" noChangeArrowheads="1"/>
                          </pic:cNvPicPr>
                        </pic:nvPicPr>
                        <pic:blipFill>
                          <a:blip r:embed="rId4"/>
                          <a:stretch>
                            <a:fillRect/>
                          </a:stretch>
                        </pic:blipFill>
                        <pic:spPr bwMode="auto">
                          <a:xfrm>
                            <a:off x="0" y="0"/>
                            <a:ext cx="3772535" cy="2066290"/>
                          </a:xfrm>
                          <a:prstGeom prst="rect">
                            <a:avLst/>
                          </a:prstGeom>
                        </pic:spPr>
                      </pic:pic>
                    </a:graphicData>
                  </a:graphic>
                </wp:inline>
              </w:drawing>
            </w:r>
          </w:p>
          <w:p>
            <w:pPr>
              <w:pStyle w:val="Normal"/>
              <w:tabs>
                <w:tab w:val="left" w:pos="90" w:leader="none"/>
              </w:tabs>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Б</w:t>
            </w:r>
          </w:p>
        </w:tc>
      </w:tr>
    </w:tbl>
    <w:p>
      <w:pPr>
        <w:pStyle w:val="Normal"/>
        <w:tabs>
          <w:tab w:val="left" w:pos="90" w:leader="none"/>
        </w:tabs>
        <w:spacing w:lineRule="auto" w:line="240" w:before="0" w:after="0"/>
        <w:jc w:val="both"/>
        <w:rPr>
          <w:rStyle w:val="Jlqj4b"/>
          <w:rFonts w:ascii="Times New Roman" w:hAnsi="Times New Roman" w:cs="Times New Roman"/>
          <w:i/>
          <w:i/>
          <w:sz w:val="24"/>
          <w:szCs w:val="24"/>
        </w:rPr>
      </w:pPr>
      <w:r>
        <w:rPr>
          <w:rFonts w:eastAsia="Calibri" w:cs="Times New Roman" w:ascii="Times New Roman" w:hAnsi="Times New Roman"/>
          <w:i/>
          <w:color w:val="000000"/>
          <w:kern w:val="2"/>
          <w:sz w:val="24"/>
          <w:szCs w:val="24"/>
        </w:rPr>
        <w:t>Рисунок.2. А– Кумулятивные функции распределения градиента показателя Ляпунова в 10 км буфере от положений мест улова сайры (штриховая кривая) и от случайно выбранных точек по 1000 реализациям. Усреднение по</w:t>
      </w:r>
      <w:r>
        <w:rPr>
          <w:rStyle w:val="Jlqj4b"/>
          <w:rFonts w:cs="Times New Roman" w:ascii="Times New Roman" w:hAnsi="Times New Roman"/>
          <w:sz w:val="24"/>
          <w:szCs w:val="24"/>
        </w:rPr>
        <w:t xml:space="preserve"> выборке 39522 мест уловов</w:t>
      </w:r>
      <w:r>
        <w:rPr>
          <w:rFonts w:eastAsia="Calibri" w:cs="Times New Roman" w:ascii="Times New Roman" w:hAnsi="Times New Roman"/>
          <w:i/>
          <w:color w:val="000000"/>
          <w:kern w:val="2"/>
          <w:sz w:val="24"/>
          <w:szCs w:val="24"/>
        </w:rPr>
        <w:t xml:space="preserve"> для путин </w:t>
      </w:r>
      <w:r>
        <w:rPr>
          <w:rStyle w:val="Jlqj4b"/>
          <w:rFonts w:cs="Times New Roman" w:ascii="Times New Roman" w:hAnsi="Times New Roman"/>
          <w:i/>
          <w:sz w:val="24"/>
          <w:szCs w:val="24"/>
        </w:rPr>
        <w:t>2004 -2014 гг.</w:t>
      </w:r>
      <w:r>
        <w:rPr>
          <w:rStyle w:val="Jlqj4b"/>
          <w:rFonts w:cs="Times New Roman" w:ascii="Times New Roman" w:hAnsi="Times New Roman"/>
          <w:sz w:val="24"/>
          <w:szCs w:val="24"/>
        </w:rPr>
        <w:t>; Б–</w:t>
      </w:r>
      <w:r>
        <w:rPr>
          <w:rStyle w:val="Jlqj4b"/>
          <w:rFonts w:cs="Times New Roman" w:ascii="Times New Roman" w:hAnsi="Times New Roman"/>
          <w:i/>
          <w:sz w:val="24"/>
          <w:szCs w:val="24"/>
        </w:rPr>
        <w:t xml:space="preserve"> Положения лагранжевых фронтов квазистационарных а) хоккайдского (центр 42,5° с.ш, 147,5° в.д) и </w:t>
      </w:r>
      <w:r>
        <w:rPr>
          <w:rStyle w:val="Jlqj4b"/>
          <w:rFonts w:cs="Times New Roman" w:ascii="Times New Roman" w:hAnsi="Times New Roman"/>
          <w:i/>
          <w:sz w:val="24"/>
          <w:szCs w:val="24"/>
          <w:lang w:val="en-US"/>
        </w:rPr>
        <w:t>b</w:t>
      </w:r>
      <w:r>
        <w:rPr>
          <w:rStyle w:val="Jlqj4b"/>
          <w:rFonts w:cs="Times New Roman" w:ascii="Times New Roman" w:hAnsi="Times New Roman"/>
          <w:i/>
          <w:sz w:val="24"/>
          <w:szCs w:val="24"/>
        </w:rPr>
        <w:t xml:space="preserve">) буссольского (центр 43,2° с.ш, 153° в.д.) антициклонов с наложенными местами улова в сент.-окт. 2004 г. Воды течений Соя отмечены желтым, Ойясио синим, воды открытого океана зеленым и субтропические воды –красным цветом. </w:t>
      </w:r>
    </w:p>
    <w:p>
      <w:pPr>
        <w:pStyle w:val="Normal"/>
        <w:spacing w:lineRule="auto" w:line="240" w:before="0" w:after="0"/>
        <w:jc w:val="both"/>
        <w:rPr>
          <w:rFonts w:ascii="Times New Roman" w:hAnsi="Times New Roman" w:eastAsia="Calibri" w:cs="Times New Roman"/>
          <w:color w:val="000000"/>
          <w:kern w:val="2"/>
          <w:sz w:val="24"/>
          <w:szCs w:val="24"/>
        </w:rPr>
      </w:pPr>
      <w:r>
        <w:rPr>
          <w:rFonts w:eastAsia="Calibri" w:cs="Times New Roman" w:ascii="Times New Roman" w:hAnsi="Times New Roman"/>
          <w:color w:val="000000"/>
          <w:kern w:val="2"/>
          <w:sz w:val="24"/>
          <w:szCs w:val="24"/>
        </w:rPr>
      </w:r>
    </w:p>
    <w:p>
      <w:pPr>
        <w:pStyle w:val="Normal"/>
        <w:spacing w:lineRule="auto" w:line="240" w:before="0" w:after="0"/>
        <w:jc w:val="both"/>
        <w:rPr>
          <w:rFonts w:ascii="Times New Roman" w:hAnsi="Times New Roman" w:eastAsia="Calibri" w:cs="Times New Roman"/>
          <w:bCs/>
          <w:color w:val="000000"/>
          <w:kern w:val="2"/>
          <w:sz w:val="24"/>
          <w:szCs w:val="24"/>
        </w:rPr>
      </w:pPr>
      <w:r>
        <w:rPr>
          <w:rFonts w:eastAsia="Calibri" w:cs="Times New Roman" w:ascii="Times New Roman" w:hAnsi="Times New Roman"/>
          <w:color w:val="000000"/>
          <w:kern w:val="2"/>
          <w:sz w:val="24"/>
          <w:szCs w:val="24"/>
          <w:lang w:val="en-US"/>
        </w:rPr>
        <w:t xml:space="preserve">Prants S.V., Budyansky M.V., Uleysky M.Yu., Kulik V.V. Lagrangian fronts and saury catch locations in the Northwestern Pacific in 2004-2019 // </w:t>
      </w:r>
      <w:r>
        <w:rPr>
          <w:rFonts w:eastAsia="Calibri" w:cs="Times New Roman" w:ascii="Times New Roman" w:hAnsi="Times New Roman"/>
          <w:b/>
          <w:color w:val="000000"/>
          <w:kern w:val="2"/>
          <w:sz w:val="24"/>
          <w:szCs w:val="24"/>
          <w:lang w:val="en-US"/>
        </w:rPr>
        <w:t>Journal of Marine Systems</w:t>
      </w:r>
      <w:r>
        <w:rPr>
          <w:rFonts w:eastAsia="Calibri" w:cs="Times New Roman" w:ascii="Times New Roman" w:hAnsi="Times New Roman"/>
          <w:color w:val="000000"/>
          <w:kern w:val="2"/>
          <w:sz w:val="24"/>
          <w:szCs w:val="24"/>
          <w:lang w:val="en-US"/>
        </w:rPr>
        <w:t xml:space="preserve">. </w:t>
      </w:r>
      <w:r>
        <w:rPr>
          <w:rFonts w:eastAsia="Calibri" w:cs="Times New Roman" w:ascii="Times New Roman" w:hAnsi="Times New Roman"/>
          <w:color w:val="000000"/>
          <w:kern w:val="2"/>
          <w:sz w:val="24"/>
          <w:szCs w:val="24"/>
        </w:rPr>
        <w:t xml:space="preserve">2021. </w:t>
      </w:r>
      <w:r>
        <w:rPr>
          <w:rFonts w:eastAsia="Calibri" w:cs="Times New Roman" w:ascii="Times New Roman" w:hAnsi="Times New Roman"/>
          <w:color w:val="000000"/>
          <w:kern w:val="2"/>
          <w:sz w:val="24"/>
          <w:szCs w:val="24"/>
          <w:lang w:val="en-US"/>
        </w:rPr>
        <w:t>V</w:t>
      </w:r>
      <w:r>
        <w:rPr>
          <w:rFonts w:eastAsia="Calibri" w:cs="Times New Roman" w:ascii="Times New Roman" w:hAnsi="Times New Roman"/>
          <w:color w:val="000000"/>
          <w:kern w:val="2"/>
          <w:sz w:val="24"/>
          <w:szCs w:val="24"/>
        </w:rPr>
        <w:t xml:space="preserve">. 222. </w:t>
      </w:r>
      <w:r>
        <w:rPr>
          <w:rFonts w:eastAsia="Calibri" w:cs="Times New Roman" w:ascii="Times New Roman" w:hAnsi="Times New Roman"/>
          <w:color w:val="000000"/>
          <w:kern w:val="2"/>
          <w:sz w:val="24"/>
          <w:szCs w:val="24"/>
          <w:lang w:val="en-US"/>
        </w:rPr>
        <w:t>Art</w:t>
      </w:r>
      <w:r>
        <w:rPr>
          <w:rFonts w:eastAsia="Calibri" w:cs="Times New Roman" w:ascii="Times New Roman" w:hAnsi="Times New Roman"/>
          <w:color w:val="000000"/>
          <w:kern w:val="2"/>
          <w:sz w:val="24"/>
          <w:szCs w:val="24"/>
        </w:rPr>
        <w:t xml:space="preserve">. </w:t>
      </w:r>
      <w:r>
        <w:rPr>
          <w:rFonts w:eastAsia="Calibri" w:cs="Times New Roman" w:ascii="Times New Roman" w:hAnsi="Times New Roman"/>
          <w:color w:val="000000"/>
          <w:kern w:val="2"/>
          <w:sz w:val="24"/>
          <w:szCs w:val="24"/>
          <w:lang w:val="en-US"/>
        </w:rPr>
        <w:t>No</w:t>
      </w:r>
      <w:r>
        <w:rPr>
          <w:rFonts w:eastAsia="Calibri" w:cs="Times New Roman" w:ascii="Times New Roman" w:hAnsi="Times New Roman"/>
          <w:color w:val="000000"/>
          <w:kern w:val="2"/>
          <w:sz w:val="24"/>
          <w:szCs w:val="24"/>
        </w:rPr>
        <w:t xml:space="preserve">. 103605 </w:t>
      </w:r>
      <w:r>
        <w:rPr>
          <w:rFonts w:eastAsia="Calibri" w:cs="Times New Roman" w:ascii="Times New Roman" w:hAnsi="Times New Roman"/>
          <w:color w:val="000000"/>
          <w:kern w:val="2"/>
          <w:sz w:val="24"/>
          <w:szCs w:val="24"/>
          <w:lang w:val="en-US"/>
        </w:rPr>
        <w:t>DOI</w:t>
      </w:r>
      <w:r>
        <w:rPr>
          <w:rFonts w:eastAsia="Calibri" w:cs="Times New Roman" w:ascii="Times New Roman" w:hAnsi="Times New Roman"/>
          <w:color w:val="000000"/>
          <w:kern w:val="2"/>
          <w:sz w:val="24"/>
          <w:szCs w:val="24"/>
        </w:rPr>
        <w:t>: 10.1016/</w:t>
      </w:r>
      <w:r>
        <w:rPr>
          <w:rFonts w:eastAsia="Calibri" w:cs="Times New Roman" w:ascii="Times New Roman" w:hAnsi="Times New Roman"/>
          <w:color w:val="000000"/>
          <w:kern w:val="2"/>
          <w:sz w:val="24"/>
          <w:szCs w:val="24"/>
          <w:lang w:val="en-US"/>
        </w:rPr>
        <w:t>j</w:t>
      </w:r>
      <w:r>
        <w:rPr>
          <w:rFonts w:eastAsia="Calibri" w:cs="Times New Roman" w:ascii="Times New Roman" w:hAnsi="Times New Roman"/>
          <w:color w:val="000000"/>
          <w:kern w:val="2"/>
          <w:sz w:val="24"/>
          <w:szCs w:val="24"/>
        </w:rPr>
        <w:t>.</w:t>
      </w:r>
      <w:r>
        <w:rPr>
          <w:rFonts w:eastAsia="Calibri" w:cs="Times New Roman" w:ascii="Times New Roman" w:hAnsi="Times New Roman"/>
          <w:color w:val="000000"/>
          <w:kern w:val="2"/>
          <w:sz w:val="24"/>
          <w:szCs w:val="24"/>
          <w:lang w:val="en-US"/>
        </w:rPr>
        <w:t>jmarsys</w:t>
      </w:r>
      <w:r>
        <w:rPr>
          <w:rFonts w:eastAsia="Calibri" w:cs="Times New Roman" w:ascii="Times New Roman" w:hAnsi="Times New Roman"/>
          <w:color w:val="000000"/>
          <w:kern w:val="2"/>
          <w:sz w:val="24"/>
          <w:szCs w:val="24"/>
        </w:rPr>
        <w:t xml:space="preserve">.2021.103605 </w:t>
      </w:r>
      <w:r>
        <w:rPr>
          <w:rFonts w:eastAsia="Calibri" w:cs="Times New Roman" w:ascii="Times New Roman" w:hAnsi="Times New Roman"/>
          <w:bCs/>
          <w:color w:val="000000"/>
          <w:kern w:val="2"/>
          <w:sz w:val="24"/>
          <w:szCs w:val="24"/>
        </w:rPr>
        <w:t>(</w:t>
      </w:r>
      <w:r>
        <w:rPr>
          <w:rFonts w:eastAsia="Calibri" w:cs="Times New Roman" w:ascii="Times New Roman" w:hAnsi="Times New Roman"/>
          <w:b/>
          <w:bCs/>
          <w:color w:val="000000"/>
          <w:kern w:val="2"/>
          <w:sz w:val="24"/>
          <w:szCs w:val="24"/>
          <w:lang w:val="en-US"/>
        </w:rPr>
        <w:t>Q</w:t>
      </w:r>
      <w:r>
        <w:rPr>
          <w:rFonts w:eastAsia="Calibri" w:cs="Times New Roman" w:ascii="Times New Roman" w:hAnsi="Times New Roman"/>
          <w:b/>
          <w:bCs/>
          <w:color w:val="000000"/>
          <w:kern w:val="2"/>
          <w:sz w:val="24"/>
          <w:szCs w:val="24"/>
        </w:rPr>
        <w:t xml:space="preserve">2 </w:t>
      </w:r>
      <w:r>
        <w:rPr>
          <w:rFonts w:eastAsia="Calibri" w:cs="Times New Roman" w:ascii="Times New Roman" w:hAnsi="Times New Roman"/>
          <w:b/>
          <w:bCs/>
          <w:color w:val="000000"/>
          <w:kern w:val="2"/>
          <w:sz w:val="24"/>
          <w:szCs w:val="24"/>
          <w:lang w:val="en-US"/>
        </w:rPr>
        <w:t>WoS</w:t>
      </w:r>
      <w:r>
        <w:rPr>
          <w:rFonts w:eastAsia="Calibri" w:cs="Times New Roman" w:ascii="Times New Roman" w:hAnsi="Times New Roman"/>
          <w:b/>
          <w:bCs/>
          <w:color w:val="000000"/>
          <w:kern w:val="2"/>
          <w:sz w:val="24"/>
          <w:szCs w:val="24"/>
        </w:rPr>
        <w:t xml:space="preserve">  </w:t>
      </w:r>
      <w:r>
        <w:rPr>
          <w:rFonts w:eastAsia="Calibri" w:cs="Times New Roman" w:ascii="Times New Roman" w:hAnsi="Times New Roman"/>
          <w:b/>
          <w:bCs/>
          <w:color w:val="000000"/>
          <w:kern w:val="2"/>
          <w:sz w:val="24"/>
          <w:szCs w:val="24"/>
          <w:lang w:val="en-US"/>
        </w:rPr>
        <w:t>IF</w:t>
      </w:r>
      <w:r>
        <w:rPr>
          <w:rFonts w:eastAsia="Calibri" w:cs="Times New Roman" w:ascii="Times New Roman" w:hAnsi="Times New Roman"/>
          <w:b/>
          <w:bCs/>
          <w:color w:val="000000"/>
          <w:kern w:val="2"/>
          <w:sz w:val="24"/>
          <w:szCs w:val="24"/>
        </w:rPr>
        <w:t xml:space="preserve"> 2,542</w:t>
      </w:r>
      <w:r>
        <w:rPr>
          <w:rFonts w:eastAsia="Calibri" w:cs="Times New Roman" w:ascii="Times New Roman" w:hAnsi="Times New Roman"/>
          <w:bCs/>
          <w:color w:val="000000"/>
          <w:kern w:val="2"/>
          <w:sz w:val="24"/>
          <w:szCs w:val="24"/>
        </w:rPr>
        <w:t>)</w:t>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sz w:val="24"/>
          <w:szCs w:val="24"/>
        </w:rPr>
        <w:t>3.</w:t>
      </w:r>
      <w:r>
        <w:rPr/>
        <w:t xml:space="preserve"> </w:t>
      </w:r>
      <w:r>
        <w:rPr>
          <w:rFonts w:cs="Times New Roman" w:ascii="Times New Roman" w:hAnsi="Times New Roman"/>
          <w:sz w:val="24"/>
          <w:szCs w:val="24"/>
        </w:rPr>
        <w:t>Многолетние исследования микросейсм «голоса моря», возбуждающихся под влиянием тропических циклонов, выходящих на акваторию Японского моря, показали, что в спектре сигналов береговых лазерных деформографов</w:t>
      </w:r>
      <w:r>
        <w:rPr>
          <w:rFonts w:cs="Times New Roman" w:ascii="Times New Roman" w:hAnsi="Times New Roman"/>
          <w:i/>
          <w:sz w:val="24"/>
          <w:szCs w:val="24"/>
        </w:rPr>
        <w:t>,</w:t>
      </w:r>
      <w:r>
        <w:rPr>
          <w:rFonts w:cs="Times New Roman" w:ascii="Times New Roman" w:hAnsi="Times New Roman"/>
          <w:sz w:val="24"/>
          <w:szCs w:val="24"/>
        </w:rPr>
        <w:t xml:space="preserve"> полученных в периоды максимального возбуждения микросейсм, могут быть несколько частот с преобладающей амплитудой. Области генерации колебаний «голоса моря» находятся в шельфовой зоне Японского моря и зависят от ветровых характеристик приповерхностного слоя атмосферы. На основании данных измерений двухкоординатного лазерного деформографа определено несколько зон генерации колебаний «голоса моря» от Корейского залива до залива Петра Великого и западного побережья о. Хоккайдо. (</w:t>
      </w:r>
      <w:r>
        <w:rPr>
          <w:rFonts w:cs="Times New Roman" w:ascii="Times New Roman" w:hAnsi="Times New Roman"/>
          <w:b/>
          <w:bCs/>
          <w:sz w:val="24"/>
          <w:szCs w:val="24"/>
        </w:rPr>
        <w:t>Долгих Г.И., Чупин В.А., Гусев Е.С., Овчаренко В.В., ТОИ ДВО РАН)</w:t>
      </w:r>
    </w:p>
    <w:p>
      <w:pPr>
        <w:pStyle w:val="Normal"/>
        <w:spacing w:before="0" w:after="0"/>
        <w:jc w:val="center"/>
        <w:rPr>
          <w:rFonts w:ascii="Times New Roman" w:hAnsi="Times New Roman" w:cs="Times New Roman"/>
          <w:b/>
          <w:b/>
          <w:sz w:val="24"/>
          <w:szCs w:val="24"/>
        </w:rPr>
      </w:pPr>
      <w:r>
        <w:rPr>
          <w:rFonts w:cs="Times New Roman" w:ascii="Times New Roman" w:hAnsi="Times New Roman"/>
          <w:b/>
          <w:sz w:val="24"/>
          <w:szCs w:val="24"/>
        </w:rPr>
      </w:r>
    </w:p>
    <w:tbl>
      <w:tblPr>
        <w:tblStyle w:val="a3"/>
        <w:tblW w:w="9355" w:type="dxa"/>
        <w:jc w:val="left"/>
        <w:tblInd w:w="0" w:type="dxa"/>
        <w:tblCellMar>
          <w:top w:w="0" w:type="dxa"/>
          <w:left w:w="108" w:type="dxa"/>
          <w:bottom w:w="0" w:type="dxa"/>
          <w:right w:w="108" w:type="dxa"/>
        </w:tblCellMar>
        <w:tblLook w:val="04a0" w:noVBand="1" w:noHBand="0" w:lastColumn="0" w:firstColumn="1" w:lastRow="0" w:firstRow="1"/>
      </w:tblPr>
      <w:tblGrid>
        <w:gridCol w:w="1449"/>
        <w:gridCol w:w="7905"/>
      </w:tblGrid>
      <w:tr>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w:t>
            </w:r>
          </w:p>
        </w:tc>
        <w:tc>
          <w:tcPr>
            <w:tcW w:w="7905"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cs="Times New Roman"/>
                <w:sz w:val="24"/>
                <w:szCs w:val="24"/>
              </w:rPr>
            </w:pPr>
            <w:r>
              <w:rPr/>
              <w:drawing>
                <wp:inline distT="0" distB="8890" distL="0" distR="0">
                  <wp:extent cx="4883150" cy="3877310"/>
                  <wp:effectExtent l="0" t="0" r="0" b="0"/>
                  <wp:docPr id="4"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1" descr=""/>
                          <pic:cNvPicPr>
                            <a:picLocks noChangeAspect="1" noChangeArrowheads="1"/>
                          </pic:cNvPicPr>
                        </pic:nvPicPr>
                        <pic:blipFill>
                          <a:blip r:embed="rId5"/>
                          <a:stretch>
                            <a:fillRect/>
                          </a:stretch>
                        </pic:blipFill>
                        <pic:spPr bwMode="auto">
                          <a:xfrm>
                            <a:off x="0" y="0"/>
                            <a:ext cx="4883150" cy="3877310"/>
                          </a:xfrm>
                          <a:prstGeom prst="rect">
                            <a:avLst/>
                          </a:prstGeom>
                        </pic:spPr>
                      </pic:pic>
                    </a:graphicData>
                  </a:graphic>
                </wp:inline>
              </w:drawing>
            </w:r>
          </w:p>
        </w:tc>
      </w:tr>
    </w:tbl>
    <w:p>
      <w:pPr>
        <w:pStyle w:val="Normal"/>
        <w:spacing w:before="0" w:after="0"/>
        <w:jc w:val="both"/>
        <w:rPr>
          <w:rFonts w:ascii="Times New Roman" w:hAnsi="Times New Roman" w:eastAsia="Calibri" w:cs="Times New Roman"/>
          <w:i/>
          <w:i/>
          <w:sz w:val="24"/>
          <w:szCs w:val="24"/>
        </w:rPr>
      </w:pPr>
      <w:r>
        <w:rPr>
          <w:rFonts w:eastAsia="Calibri" w:cs="Times New Roman" w:ascii="Times New Roman" w:hAnsi="Times New Roman"/>
          <w:i/>
          <w:sz w:val="24"/>
          <w:szCs w:val="24"/>
        </w:rPr>
        <w:t xml:space="preserve">Рисунок 3. А-Динамическая спектрограмма сигнала проявления микросейсм «голоса моря», полученного на лазерном деформографе, в период влияния тайфуна Чан-хом. Б-Распределению ветровых характеристик в приповерхностном слое моря, представленных на основе архивных погодных данных (цифры 1-7 обозначают временные отрезки), красным кругом обозначено местоположение берегового лазерного деформографа в заливе Петра Великого. </w:t>
      </w:r>
    </w:p>
    <w:p>
      <w:pPr>
        <w:pStyle w:val="Normal"/>
        <w:spacing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before="0" w:after="0"/>
        <w:ind w:firstLine="708"/>
        <w:jc w:val="both"/>
        <w:rPr>
          <w:rFonts w:ascii="Times New Roman" w:hAnsi="Times New Roman" w:cs="Times New Roman"/>
          <w:bCs/>
          <w:sz w:val="24"/>
          <w:szCs w:val="24"/>
        </w:rPr>
      </w:pPr>
      <w:r>
        <w:rPr>
          <w:rFonts w:cs="Times New Roman" w:ascii="Times New Roman" w:hAnsi="Times New Roman"/>
          <w:sz w:val="24"/>
          <w:szCs w:val="24"/>
          <w:lang w:val="en-US"/>
        </w:rPr>
        <w:t xml:space="preserve">Dolgikh G.I., Chupin V.A., Gusev E.S., Timoshina G.A. Cyclonic Process of the "Voice of the Sea" Microseism Generation and Its Remote Monitoring // </w:t>
      </w:r>
      <w:r>
        <w:rPr>
          <w:rFonts w:cs="Times New Roman" w:ascii="Times New Roman" w:hAnsi="Times New Roman"/>
          <w:b/>
          <w:sz w:val="24"/>
          <w:szCs w:val="24"/>
          <w:lang w:val="en-US"/>
        </w:rPr>
        <w:t>Remote Sensing</w:t>
      </w:r>
      <w:r>
        <w:rPr>
          <w:rFonts w:cs="Times New Roman" w:ascii="Times New Roman" w:hAnsi="Times New Roman"/>
          <w:sz w:val="24"/>
          <w:szCs w:val="24"/>
          <w:lang w:val="en-US"/>
        </w:rPr>
        <w:t>. 2021. V. 13. 3452. DOI</w:t>
      </w:r>
      <w:r>
        <w:rPr>
          <w:rFonts w:cs="Times New Roman" w:ascii="Times New Roman" w:hAnsi="Times New Roman"/>
          <w:sz w:val="24"/>
          <w:szCs w:val="24"/>
        </w:rPr>
        <w:t>: 10.3390/</w:t>
      </w:r>
      <w:r>
        <w:rPr>
          <w:rFonts w:cs="Times New Roman" w:ascii="Times New Roman" w:hAnsi="Times New Roman"/>
          <w:sz w:val="24"/>
          <w:szCs w:val="24"/>
          <w:lang w:val="en-US"/>
        </w:rPr>
        <w:t>rs</w:t>
      </w:r>
      <w:r>
        <w:rPr>
          <w:rFonts w:cs="Times New Roman" w:ascii="Times New Roman" w:hAnsi="Times New Roman"/>
          <w:sz w:val="24"/>
          <w:szCs w:val="24"/>
        </w:rPr>
        <w:t>13173452. (</w:t>
      </w:r>
      <w:r>
        <w:rPr>
          <w:rFonts w:cs="Times New Roman" w:ascii="Times New Roman" w:hAnsi="Times New Roman"/>
          <w:b/>
          <w:bCs/>
          <w:sz w:val="24"/>
          <w:szCs w:val="24"/>
          <w:lang w:val="en-US"/>
        </w:rPr>
        <w:t>Q</w:t>
      </w:r>
      <w:r>
        <w:rPr>
          <w:rFonts w:cs="Times New Roman" w:ascii="Times New Roman" w:hAnsi="Times New Roman"/>
          <w:b/>
          <w:bCs/>
          <w:sz w:val="24"/>
          <w:szCs w:val="24"/>
        </w:rPr>
        <w:t xml:space="preserve">1 </w:t>
      </w:r>
      <w:r>
        <w:rPr>
          <w:rFonts w:cs="Times New Roman" w:ascii="Times New Roman" w:hAnsi="Times New Roman"/>
          <w:b/>
          <w:bCs/>
          <w:sz w:val="24"/>
          <w:szCs w:val="24"/>
          <w:lang w:val="en-US"/>
        </w:rPr>
        <w:t>WoS</w:t>
      </w:r>
      <w:r>
        <w:rPr>
          <w:rFonts w:cs="Times New Roman" w:ascii="Times New Roman" w:hAnsi="Times New Roman"/>
          <w:b/>
          <w:bCs/>
          <w:sz w:val="24"/>
          <w:szCs w:val="24"/>
        </w:rPr>
        <w:t xml:space="preserve">,  </w:t>
      </w:r>
      <w:r>
        <w:rPr>
          <w:rFonts w:cs="Times New Roman" w:ascii="Times New Roman" w:hAnsi="Times New Roman"/>
          <w:b/>
          <w:bCs/>
          <w:sz w:val="24"/>
          <w:szCs w:val="24"/>
          <w:lang w:val="en-US"/>
        </w:rPr>
        <w:t>IF</w:t>
      </w:r>
      <w:r>
        <w:rPr>
          <w:rFonts w:cs="Times New Roman" w:ascii="Times New Roman" w:hAnsi="Times New Roman"/>
          <w:b/>
          <w:bCs/>
          <w:sz w:val="24"/>
          <w:szCs w:val="24"/>
        </w:rPr>
        <w:t xml:space="preserve"> </w:t>
      </w:r>
      <w:r>
        <w:rPr>
          <w:rFonts w:cs="Times New Roman" w:ascii="Times New Roman" w:hAnsi="Times New Roman"/>
          <w:b/>
          <w:bCs/>
          <w:color w:val="202124"/>
          <w:sz w:val="24"/>
          <w:szCs w:val="24"/>
          <w:shd w:fill="FFFFFF" w:val="clear"/>
        </w:rPr>
        <w:t>4,848</w:t>
      </w:r>
      <w:r>
        <w:rPr>
          <w:rFonts w:cs="Times New Roman" w:ascii="Times New Roman" w:hAnsi="Times New Roman"/>
          <w:bCs/>
          <w:color w:val="202124"/>
          <w:sz w:val="24"/>
          <w:szCs w:val="24"/>
          <w:shd w:fill="FFFFFF" w:val="clear"/>
        </w:rPr>
        <w:t>)</w:t>
      </w:r>
    </w:p>
    <w:p>
      <w:pPr>
        <w:pStyle w:val="Normal"/>
        <w:spacing w:before="0" w:after="0"/>
        <w:ind w:firstLine="708"/>
        <w:jc w:val="both"/>
        <w:rPr/>
      </w:pPr>
      <w:r>
        <w:rPr>
          <w:rFonts w:cs="Times New Roman" w:ascii="Times New Roman" w:hAnsi="Times New Roman"/>
          <w:bCs/>
          <w:sz w:val="24"/>
          <w:szCs w:val="24"/>
        </w:rPr>
        <w:t xml:space="preserve">Долгих Г.И., Чупин В.А., Гусев Е.С., Овчаренко В.В. Пеленг зон генерации микросейсм «голоса моря»// </w:t>
      </w:r>
      <w:r>
        <w:rPr>
          <w:rFonts w:cs="Times New Roman" w:ascii="Times New Roman" w:hAnsi="Times New Roman"/>
          <w:b/>
          <w:bCs/>
          <w:sz w:val="24"/>
          <w:szCs w:val="24"/>
        </w:rPr>
        <w:t>Доклады Российской академии наук. Науки о Земле</w:t>
      </w:r>
      <w:r>
        <w:rPr>
          <w:rFonts w:cs="Times New Roman" w:ascii="Times New Roman" w:hAnsi="Times New Roman"/>
          <w:bCs/>
          <w:sz w:val="24"/>
          <w:szCs w:val="24"/>
        </w:rPr>
        <w:t xml:space="preserve">. 2021. Т. 501. № 2. С. 226-230. </w:t>
      </w:r>
      <w:r>
        <w:rPr>
          <w:rFonts w:cs="Times New Roman" w:ascii="Times New Roman" w:hAnsi="Times New Roman"/>
          <w:sz w:val="24"/>
          <w:szCs w:val="24"/>
        </w:rPr>
        <w:t>(</w:t>
      </w:r>
      <w:r>
        <w:rPr>
          <w:rFonts w:cs="Times New Roman" w:ascii="Times New Roman" w:hAnsi="Times New Roman"/>
          <w:b/>
          <w:bCs/>
          <w:sz w:val="24"/>
          <w:szCs w:val="24"/>
          <w:lang w:val="en-US"/>
        </w:rPr>
        <w:t>Q</w:t>
      </w:r>
      <w:r>
        <w:rPr>
          <w:rFonts w:cs="Times New Roman" w:ascii="Times New Roman" w:hAnsi="Times New Roman"/>
          <w:b/>
          <w:bCs/>
          <w:sz w:val="24"/>
          <w:szCs w:val="24"/>
        </w:rPr>
        <w:t xml:space="preserve">4 </w:t>
      </w:r>
      <w:r>
        <w:rPr>
          <w:rFonts w:cs="Times New Roman" w:ascii="Times New Roman" w:hAnsi="Times New Roman"/>
          <w:b/>
          <w:bCs/>
          <w:sz w:val="24"/>
          <w:szCs w:val="24"/>
          <w:lang w:val="en-US"/>
        </w:rPr>
        <w:t>WoS</w:t>
      </w:r>
      <w:r>
        <w:rPr>
          <w:rFonts w:cs="Times New Roman" w:ascii="Times New Roman" w:hAnsi="Times New Roman"/>
          <w:b/>
          <w:bCs/>
          <w:sz w:val="24"/>
          <w:szCs w:val="24"/>
        </w:rPr>
        <w:t xml:space="preserve">, </w:t>
      </w:r>
      <w:r>
        <w:rPr>
          <w:rFonts w:cs="Times New Roman" w:ascii="Times New Roman" w:hAnsi="Times New Roman"/>
          <w:b/>
          <w:bCs/>
          <w:sz w:val="24"/>
          <w:szCs w:val="24"/>
          <w:lang w:val="en-US"/>
        </w:rPr>
        <w:t>IF</w:t>
      </w:r>
      <w:r>
        <w:rPr>
          <w:rFonts w:cs="Times New Roman" w:ascii="Times New Roman" w:hAnsi="Times New Roman"/>
          <w:b/>
          <w:bCs/>
          <w:sz w:val="24"/>
          <w:szCs w:val="24"/>
        </w:rPr>
        <w:t xml:space="preserve"> </w:t>
      </w:r>
      <w:r>
        <w:rPr>
          <w:rFonts w:cs="Times New Roman" w:ascii="Times New Roman" w:hAnsi="Times New Roman"/>
          <w:b/>
          <w:bCs/>
          <w:color w:val="202124"/>
          <w:sz w:val="24"/>
          <w:szCs w:val="24"/>
          <w:shd w:fill="FFFFFF" w:val="clear"/>
        </w:rPr>
        <w:t>0,533</w:t>
      </w:r>
      <w:r>
        <w:rPr>
          <w:rFonts w:cs="Times New Roman" w:ascii="Times New Roman" w:hAnsi="Times New Roman"/>
          <w:bCs/>
          <w:color w:val="202124"/>
          <w:sz w:val="24"/>
          <w:szCs w:val="24"/>
          <w:shd w:fill="FFFFFF" w:val="clear"/>
        </w:rPr>
        <w:t xml:space="preserve">) </w:t>
      </w:r>
      <w:r>
        <w:br w:type="page"/>
      </w:r>
    </w:p>
    <w:p>
      <w:pPr>
        <w:pStyle w:val="Normal"/>
        <w:jc w:val="both"/>
        <w:rPr/>
      </w:pPr>
      <w:r>
        <w:rPr>
          <w:rFonts w:eastAsia="Calibri" w:cs="Times New Roman" w:ascii="Times New Roman" w:hAnsi="Times New Roman"/>
          <w:sz w:val="24"/>
          <w:szCs w:val="24"/>
        </w:rPr>
        <w:t xml:space="preserve">4. Установлено уменьшение концентраций кислорода и рН, увеличение концентраций биогенных веществ (нитратов, фосфатов, силикатов), нормированного неорганического углерода и парциального давления углекислого газа по всей водной толще в северо-западной части Японского моря в период с 1999 по 2014 гг. Наибольшие скорости изменений гидрохимических свойств соответствуют горизонтам 750 м. Деоксигенация и ацидификация затрагивает не только открытую часть Японского моря, но и залив Петра Великого. Основной причиной наблюдаемых изменений является эвтрофикация вод Японского моря и его шельфа, обусловленная глобальным загрязнением атмосферы окислами азота и фосфора. </w:t>
      </w:r>
      <w:r>
        <w:rPr>
          <w:rFonts w:eastAsia="Calibri" w:cs="Times New Roman" w:ascii="Times New Roman" w:hAnsi="Times New Roman"/>
          <w:b/>
          <w:sz w:val="24"/>
          <w:szCs w:val="24"/>
        </w:rPr>
        <w:t>(Тищенко П.Я., Лобанов В.Б., Каплуне</w:t>
      </w:r>
      <w:r>
        <w:rPr>
          <w:rFonts w:eastAsia="Calibri" w:cs="Times New Roman" w:ascii="Times New Roman" w:hAnsi="Times New Roman"/>
          <w:b/>
          <w:sz w:val="24"/>
          <w:szCs w:val="24"/>
        </w:rPr>
        <w:t>н</w:t>
      </w:r>
      <w:r>
        <w:rPr>
          <w:rFonts w:eastAsia="Calibri" w:cs="Times New Roman" w:ascii="Times New Roman" w:hAnsi="Times New Roman"/>
          <w:b/>
          <w:sz w:val="24"/>
          <w:szCs w:val="24"/>
        </w:rPr>
        <w:t>ко</w:t>
      </w:r>
      <w:r>
        <w:rPr>
          <w:rFonts w:eastAsia="Calibri" w:cs="Times New Roman" w:ascii="Times New Roman" w:hAnsi="Times New Roman"/>
          <w:b/>
          <w:sz w:val="24"/>
          <w:szCs w:val="24"/>
        </w:rPr>
        <w:t> </w:t>
      </w:r>
      <w:r>
        <w:rPr>
          <w:rFonts w:eastAsia="Calibri" w:cs="Times New Roman" w:ascii="Times New Roman" w:hAnsi="Times New Roman"/>
          <w:b/>
          <w:sz w:val="24"/>
          <w:szCs w:val="24"/>
        </w:rPr>
        <w:t>Д., Сагалаев</w:t>
      </w:r>
      <w:r>
        <w:rPr>
          <w:rFonts w:eastAsia="Calibri" w:cs="Times New Roman" w:ascii="Times New Roman" w:hAnsi="Times New Roman"/>
          <w:b/>
          <w:sz w:val="24"/>
          <w:szCs w:val="24"/>
        </w:rPr>
        <w:t> </w:t>
      </w:r>
      <w:r>
        <w:rPr>
          <w:rFonts w:eastAsia="Calibri" w:cs="Times New Roman" w:ascii="Times New Roman" w:hAnsi="Times New Roman"/>
          <w:b/>
          <w:sz w:val="24"/>
          <w:szCs w:val="24"/>
        </w:rPr>
        <w:t xml:space="preserve">С.,Тищенко П.П., ТОИ ДВО РАН ). </w:t>
      </w:r>
    </w:p>
    <w:p>
      <w:pPr>
        <w:pStyle w:val="Normal"/>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ind w:firstLine="567"/>
        <w:jc w:val="both"/>
        <w:rPr>
          <w:rFonts w:ascii="Times New Roman" w:hAnsi="Times New Roman" w:eastAsia="Calibri" w:cs="Times New Roman"/>
          <w:sz w:val="24"/>
          <w:szCs w:val="24"/>
        </w:rPr>
      </w:pPr>
      <w:r>
        <w:rPr/>
        <w:drawing>
          <wp:inline distT="0" distB="0" distL="0" distR="0">
            <wp:extent cx="4827270" cy="4844415"/>
            <wp:effectExtent l="0" t="0" r="0" b="0"/>
            <wp:docPr id="5"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4" descr=""/>
                    <pic:cNvPicPr>
                      <a:picLocks noChangeAspect="1" noChangeArrowheads="1"/>
                    </pic:cNvPicPr>
                  </pic:nvPicPr>
                  <pic:blipFill>
                    <a:blip r:embed="rId6"/>
                    <a:stretch>
                      <a:fillRect/>
                    </a:stretch>
                  </pic:blipFill>
                  <pic:spPr bwMode="auto">
                    <a:xfrm>
                      <a:off x="0" y="0"/>
                      <a:ext cx="4827270" cy="4844415"/>
                    </a:xfrm>
                    <a:prstGeom prst="rect">
                      <a:avLst/>
                    </a:prstGeom>
                  </pic:spPr>
                </pic:pic>
              </a:graphicData>
            </a:graphic>
          </wp:inline>
        </w:drawing>
      </w:r>
    </w:p>
    <w:p>
      <w:pPr>
        <w:pStyle w:val="Normal"/>
        <w:spacing w:lineRule="auto" w:line="240"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i/>
          <w:sz w:val="24"/>
          <w:szCs w:val="24"/>
        </w:rPr>
        <w:t>Рисунок 4. Вертикальные профили скоростей уменьшения кислорода (а), рН (в), увеличения концентрации фосфатов (б) и парциального давления углекислого газа (г) в Японском море. Пунктирная линия соответствует скорости увеличения парциального давления углекислого газа в атмосфере</w:t>
      </w:r>
      <w:r>
        <w:rPr>
          <w:rFonts w:eastAsia="Calibri" w:cs="Times New Roman" w:ascii="Times New Roman" w:hAnsi="Times New Roman"/>
          <w:sz w:val="24"/>
          <w:szCs w:val="24"/>
        </w:rPr>
        <w:t>.</w:t>
      </w:r>
    </w:p>
    <w:p>
      <w:pPr>
        <w:pStyle w:val="Normal"/>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jc w:val="both"/>
        <w:rPr>
          <w:rFonts w:ascii="Times New Roman" w:hAnsi="Times New Roman" w:eastAsia="Calibri" w:cs="Times New Roman"/>
          <w:b/>
          <w:b/>
          <w:sz w:val="24"/>
          <w:szCs w:val="24"/>
          <w:lang w:val="en-US"/>
        </w:rPr>
      </w:pPr>
      <w:r>
        <w:rPr>
          <w:rFonts w:eastAsia="Calibri" w:cs="Times New Roman" w:ascii="Times New Roman" w:hAnsi="Times New Roman"/>
          <w:b/>
          <w:bCs/>
          <w:sz w:val="24"/>
          <w:szCs w:val="24"/>
          <w:u w:val="single"/>
          <w:lang w:val="en-US" w:eastAsia="ru-RU"/>
        </w:rPr>
        <w:t>P. Tishchenko</w:t>
      </w:r>
      <w:r>
        <w:rPr>
          <w:rFonts w:eastAsia="Calibri" w:cs="Times New Roman" w:ascii="Times New Roman" w:hAnsi="Times New Roman"/>
          <w:bCs/>
          <w:sz w:val="24"/>
          <w:szCs w:val="24"/>
          <w:lang w:val="en-US" w:eastAsia="ru-RU"/>
        </w:rPr>
        <w:t>, V. Lobanov , D. Kaplunenko, S. Sagalaev and Petr Tishchenko. Acidification and Deoxygenation of the Northwestern Japan/East Sea // J. Mar. Sci. Eng. 2021</w:t>
      </w:r>
      <w:r>
        <w:rPr>
          <w:rFonts w:eastAsia="Calibri" w:cs="Times New Roman" w:ascii="Times New Roman" w:hAnsi="Times New Roman"/>
          <w:sz w:val="24"/>
          <w:szCs w:val="24"/>
          <w:lang w:val="en-US" w:eastAsia="ru-RU"/>
        </w:rPr>
        <w:t>, 9, 953. doi.org/10.3390/jmse9090953 .</w:t>
      </w:r>
      <w:r>
        <w:rPr>
          <w:rFonts w:eastAsia="Calibri" w:cs="Times New Roman" w:ascii="Times New Roman" w:hAnsi="Times New Roman"/>
          <w:b/>
          <w:sz w:val="24"/>
          <w:szCs w:val="24"/>
          <w:lang w:val="en-US"/>
        </w:rPr>
        <w:t xml:space="preserve">WoS Q 2, IF= 2.46.  </w:t>
      </w:r>
    </w:p>
    <w:p>
      <w:pPr>
        <w:pStyle w:val="Normal"/>
        <w:rPr>
          <w:rFonts w:ascii="Times New Roman" w:hAnsi="Times New Roman" w:eastAsia="Calibri" w:cs="Times New Roman"/>
          <w:sz w:val="24"/>
          <w:szCs w:val="24"/>
          <w:lang w:val="en-US"/>
        </w:rPr>
      </w:pPr>
      <w:r>
        <w:rPr>
          <w:rFonts w:eastAsia="Calibri" w:cs="Times New Roman" w:ascii="Times New Roman" w:hAnsi="Times New Roman"/>
          <w:sz w:val="24"/>
          <w:szCs w:val="24"/>
          <w:lang w:val="en-US"/>
        </w:rPr>
      </w:r>
      <w:r>
        <w:br w:type="page"/>
      </w:r>
    </w:p>
    <w:p>
      <w:pPr>
        <w:pStyle w:val="Normal"/>
        <w:spacing w:lineRule="auto" w:line="36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5. Присутствие в морской среде микроразмерных частиц искусственных полимеров (микропластика) является одной из глобальных экологических проблем в мире. Новое представление о потенциальной негативной роли микропластика как источника генотоксических проблем для морских организмов лежит в основе долгосрочных неблагоприятных эффектов экосистемного характера</w:t>
      </w:r>
      <w:r>
        <w:rPr>
          <w:rFonts w:eastAsia="Calibri" w:cs="Times New Roman" w:ascii="Times New Roman" w:hAnsi="Times New Roman"/>
          <w:b/>
          <w:sz w:val="24"/>
          <w:szCs w:val="24"/>
        </w:rPr>
        <w:t>.</w:t>
      </w:r>
      <w:r>
        <w:rPr>
          <w:rFonts w:eastAsia="Calibri" w:cs="Times New Roman" w:ascii="Times New Roman" w:hAnsi="Times New Roman"/>
          <w:sz w:val="24"/>
          <w:szCs w:val="24"/>
        </w:rPr>
        <w:t xml:space="preserve"> </w:t>
      </w:r>
    </w:p>
    <w:p>
      <w:pPr>
        <w:pStyle w:val="Normal"/>
        <w:spacing w:lineRule="auto" w:line="36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Проведены кратковременные (острые) эксперименты по воздействию микросфер полистирола (30 µм) на целостность генома (ДНК) гамет плоского морского ежа </w:t>
      </w:r>
      <w:r>
        <w:rPr>
          <w:rFonts w:eastAsia="Calibri" w:cs="Times New Roman" w:ascii="Times New Roman" w:hAnsi="Times New Roman"/>
          <w:i/>
          <w:sz w:val="24"/>
          <w:szCs w:val="24"/>
        </w:rPr>
        <w:t>Scaphechinus mirabilis</w:t>
      </w:r>
      <w:r>
        <w:rPr>
          <w:rFonts w:eastAsia="Calibri" w:cs="Times New Roman" w:ascii="Times New Roman" w:hAnsi="Times New Roman"/>
          <w:sz w:val="24"/>
          <w:szCs w:val="24"/>
        </w:rPr>
        <w:t xml:space="preserve"> с помощью метода ДНК-комет. Выявлено и количественно охарактеризовано повреждения генома в гаметах после кратковременного воздействия микрочастиц полистирола (PS). Впервые показано, что микросферы полистирола в концентрациях 10</w:t>
      </w:r>
      <w:r>
        <w:rPr>
          <w:rFonts w:eastAsia="Calibri" w:cs="Times New Roman" w:ascii="Times New Roman" w:hAnsi="Times New Roman"/>
          <w:sz w:val="24"/>
          <w:szCs w:val="24"/>
          <w:vertAlign w:val="superscript"/>
        </w:rPr>
        <w:t>4</w:t>
      </w:r>
      <w:r>
        <w:rPr>
          <w:rFonts w:eastAsia="Calibri" w:cs="Times New Roman" w:ascii="Times New Roman" w:hAnsi="Times New Roman"/>
          <w:sz w:val="24"/>
          <w:szCs w:val="24"/>
        </w:rPr>
        <w:t>, 10</w:t>
      </w:r>
      <w:r>
        <w:rPr>
          <w:rFonts w:eastAsia="Calibri" w:cs="Times New Roman" w:ascii="Times New Roman" w:hAnsi="Times New Roman"/>
          <w:sz w:val="24"/>
          <w:szCs w:val="24"/>
          <w:vertAlign w:val="superscript"/>
        </w:rPr>
        <w:t>5</w:t>
      </w:r>
      <w:r>
        <w:rPr>
          <w:rFonts w:eastAsia="Calibri" w:cs="Times New Roman" w:ascii="Times New Roman" w:hAnsi="Times New Roman"/>
          <w:sz w:val="24"/>
          <w:szCs w:val="24"/>
        </w:rPr>
        <w:t xml:space="preserve"> и 10</w:t>
      </w:r>
      <w:r>
        <w:rPr>
          <w:rFonts w:eastAsia="Calibri" w:cs="Times New Roman" w:ascii="Times New Roman" w:hAnsi="Times New Roman"/>
          <w:sz w:val="24"/>
          <w:szCs w:val="24"/>
          <w:vertAlign w:val="superscript"/>
        </w:rPr>
        <w:t>6</w:t>
      </w:r>
      <w:r>
        <w:rPr>
          <w:rFonts w:eastAsia="Calibri" w:cs="Times New Roman" w:ascii="Times New Roman" w:hAnsi="Times New Roman"/>
          <w:sz w:val="24"/>
          <w:szCs w:val="24"/>
        </w:rPr>
        <w:t xml:space="preserve"> частиц/л оказывают генотоксическое действие при кратковременном контакте только на сперматозоиды, что выражалось в значительном увеличении уровня повреждений в ДНК (более 20%). При всех исследованных концентрациях микропластика индекс генетического повреждения в сперматозоидах превышал контрольный уровень. Однако независимо от уровня повреждения ДНК, сперматозоиды сохраняли способность оплодотворять яйцеклетки с эффективностью до 97%. В ходе экспериментов повреждений генома яйцеклеток обнаружено не было, что свидетельствует о развитой системе репарации ДНК. Полученные результаты позволяют предположить, что, микрочастицы пластика способны проявлять генотоксические свойства в отношении сперматозоидов морского ежа. </w:t>
      </w:r>
      <w:r>
        <w:rPr>
          <w:rFonts w:eastAsia="Calibri" w:cs="Times New Roman" w:ascii="Times New Roman" w:hAnsi="Times New Roman"/>
          <w:b/>
          <w:sz w:val="24"/>
          <w:szCs w:val="24"/>
        </w:rPr>
        <w:t>(Мазур А.А., Челомин В.П., Кукла С.П., Слободскова В.В., Довженко Н.В., ТОИ ДВО РАН)</w:t>
      </w:r>
      <w:r>
        <w:rPr>
          <w:rFonts w:eastAsia="Calibri" w:cs="Times New Roman" w:ascii="Times New Roman" w:hAnsi="Times New Roman"/>
          <w:sz w:val="24"/>
          <w:szCs w:val="24"/>
        </w:rPr>
        <w:t>.</w:t>
      </w:r>
    </w:p>
    <w:p>
      <w:pPr>
        <w:pStyle w:val="Normal"/>
        <w:spacing w:lineRule="auto" w:line="276" w:before="0" w:after="0"/>
        <w:jc w:val="center"/>
        <w:rPr>
          <w:rFonts w:ascii="Times New Roman" w:hAnsi="Times New Roman" w:eastAsia="Calibri" w:cs="Times New Roman"/>
          <w:sz w:val="24"/>
          <w:szCs w:val="24"/>
        </w:rPr>
      </w:pPr>
      <w:r>
        <w:rPr/>
        <w:drawing>
          <wp:inline distT="0" distB="0" distL="0" distR="0">
            <wp:extent cx="3289935" cy="327025"/>
            <wp:effectExtent l="0" t="0" r="0" b="0"/>
            <wp:docPr id="6"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
                    <pic:cNvPicPr>
                      <a:picLocks noChangeAspect="1" noChangeArrowheads="1"/>
                    </pic:cNvPicPr>
                  </pic:nvPicPr>
                  <pic:blipFill>
                    <a:blip r:embed="rId7"/>
                    <a:stretch>
                      <a:fillRect/>
                    </a:stretch>
                  </pic:blipFill>
                  <pic:spPr bwMode="auto">
                    <a:xfrm>
                      <a:off x="0" y="0"/>
                      <a:ext cx="3289935" cy="327025"/>
                    </a:xfrm>
                    <a:prstGeom prst="rect">
                      <a:avLst/>
                    </a:prstGeom>
                  </pic:spPr>
                </pic:pic>
              </a:graphicData>
            </a:graphic>
          </wp:inline>
        </w:drawing>
      </w:r>
      <w:r>
        <w:rPr/>
        <w:drawing>
          <wp:inline distT="0" distB="0" distL="0" distR="0">
            <wp:extent cx="3264535" cy="1532890"/>
            <wp:effectExtent l="0" t="0" r="0" b="0"/>
            <wp:docPr id="7"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descr=""/>
                    <pic:cNvPicPr>
                      <a:picLocks noChangeAspect="1" noChangeArrowheads="1"/>
                    </pic:cNvPicPr>
                  </pic:nvPicPr>
                  <pic:blipFill>
                    <a:blip r:embed="rId8"/>
                    <a:stretch>
                      <a:fillRect/>
                    </a:stretch>
                  </pic:blipFill>
                  <pic:spPr bwMode="auto">
                    <a:xfrm>
                      <a:off x="0" y="0"/>
                      <a:ext cx="3264535" cy="1532890"/>
                    </a:xfrm>
                    <a:prstGeom prst="rect">
                      <a:avLst/>
                    </a:prstGeom>
                  </pic:spPr>
                </pic:pic>
              </a:graphicData>
            </a:graphic>
          </wp:inline>
        </w:drawing>
      </w:r>
    </w:p>
    <w:p>
      <w:pPr>
        <w:pStyle w:val="Normal"/>
        <w:spacing w:lineRule="auto" w:line="276" w:before="0" w:after="0"/>
        <w:jc w:val="both"/>
        <w:rPr>
          <w:rFonts w:ascii="Times New Roman" w:hAnsi="Times New Roman" w:eastAsia="Calibri" w:cs="Times New Roman"/>
          <w:i/>
          <w:i/>
          <w:sz w:val="24"/>
          <w:szCs w:val="24"/>
        </w:rPr>
      </w:pPr>
      <w:r>
        <w:rPr>
          <w:rFonts w:eastAsia="Calibri" w:cs="Times New Roman" w:ascii="Times New Roman" w:hAnsi="Times New Roman"/>
          <w:i/>
          <w:sz w:val="24"/>
          <w:szCs w:val="24"/>
        </w:rPr>
        <w:t>Рисунок 5. Уровень повреждения ДНК контрольных и экспериментальных сперматозоидов морского ежа, представленное по распределению комет соответствующих классов</w:t>
      </w:r>
    </w:p>
    <w:p>
      <w:pPr>
        <w:pStyle w:val="Normal"/>
        <w:spacing w:lineRule="auto" w:line="276" w:before="0" w:after="200"/>
        <w:ind w:firstLine="567"/>
        <w:jc w:val="both"/>
        <w:rPr>
          <w:rFonts w:ascii="Times New Roman" w:hAnsi="Times New Roman" w:eastAsia="Calibri" w:cs="Times New Roman"/>
          <w:i/>
          <w:i/>
          <w:sz w:val="24"/>
          <w:szCs w:val="24"/>
        </w:rPr>
      </w:pPr>
      <w:r>
        <w:rPr>
          <w:rFonts w:eastAsia="Calibri" w:cs="Times New Roman" w:ascii="Times New Roman" w:hAnsi="Times New Roman"/>
          <w:i/>
          <w:sz w:val="24"/>
          <w:szCs w:val="24"/>
        </w:rPr>
      </w:r>
    </w:p>
    <w:p>
      <w:pPr>
        <w:pStyle w:val="Normal"/>
        <w:spacing w:lineRule="auto" w:line="276" w:before="0" w:after="20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val="en-US"/>
        </w:rPr>
        <w:t>Mazur A.</w:t>
      </w:r>
      <w:r>
        <w:rPr>
          <w:rFonts w:eastAsia="Calibri" w:cs="Times New Roman" w:ascii="Times New Roman" w:hAnsi="Times New Roman"/>
          <w:sz w:val="24"/>
          <w:szCs w:val="24"/>
        </w:rPr>
        <w:t>А</w:t>
      </w:r>
      <w:r>
        <w:rPr>
          <w:rFonts w:eastAsia="Calibri" w:cs="Times New Roman" w:ascii="Times New Roman" w:hAnsi="Times New Roman"/>
          <w:sz w:val="24"/>
          <w:szCs w:val="24"/>
          <w:lang w:val="en-US"/>
        </w:rPr>
        <w:t xml:space="preserve">., Chelomin V.P., Zhuravel E.V., Kukla S.P., Slobodskova V.V., Dovzhenko N.V. Genotoxicity of polystyrene (PS) microspheres in short-term exposure to gametes of the sand dollar </w:t>
      </w:r>
      <w:r>
        <w:rPr>
          <w:rFonts w:eastAsia="Calibri" w:cs="Times New Roman" w:ascii="Times New Roman" w:hAnsi="Times New Roman"/>
          <w:i/>
          <w:sz w:val="24"/>
          <w:szCs w:val="24"/>
          <w:lang w:val="en-US"/>
        </w:rPr>
        <w:t>Scaphechinus mirabilis (Echinodermata</w:t>
      </w:r>
      <w:r>
        <w:rPr>
          <w:rFonts w:eastAsia="Calibri" w:cs="Times New Roman" w:ascii="Times New Roman" w:hAnsi="Times New Roman"/>
          <w:sz w:val="24"/>
          <w:szCs w:val="24"/>
          <w:lang w:val="en-US"/>
        </w:rPr>
        <w:t xml:space="preserve">)// </w:t>
      </w:r>
      <w:r>
        <w:rPr>
          <w:rFonts w:eastAsia="Calibri" w:cs="Times New Roman" w:ascii="Times New Roman" w:hAnsi="Times New Roman"/>
          <w:b/>
          <w:sz w:val="24"/>
          <w:szCs w:val="24"/>
          <w:lang w:val="en-US"/>
        </w:rPr>
        <w:t>J. Marine Science and Engineering</w:t>
      </w:r>
      <w:r>
        <w:rPr>
          <w:rFonts w:eastAsia="Calibri" w:cs="Times New Roman" w:ascii="Times New Roman" w:hAnsi="Times New Roman"/>
          <w:sz w:val="24"/>
          <w:szCs w:val="24"/>
          <w:lang w:val="en-US"/>
        </w:rPr>
        <w:t xml:space="preserve">. </w:t>
      </w:r>
      <w:r>
        <w:rPr>
          <w:rFonts w:eastAsia="Calibri" w:cs="Times New Roman" w:ascii="Times New Roman" w:hAnsi="Times New Roman"/>
          <w:sz w:val="24"/>
          <w:szCs w:val="24"/>
        </w:rPr>
        <w:t xml:space="preserve">2021. </w:t>
      </w:r>
      <w:r>
        <w:rPr>
          <w:rFonts w:eastAsia="Calibri" w:cs="Times New Roman" w:ascii="Times New Roman" w:hAnsi="Times New Roman"/>
          <w:sz w:val="24"/>
          <w:szCs w:val="24"/>
          <w:lang w:val="en-US"/>
        </w:rPr>
        <w:t>V</w:t>
      </w:r>
      <w:r>
        <w:rPr>
          <w:rFonts w:eastAsia="Calibri" w:cs="Times New Roman" w:ascii="Times New Roman" w:hAnsi="Times New Roman"/>
          <w:sz w:val="24"/>
          <w:szCs w:val="24"/>
        </w:rPr>
        <w:t xml:space="preserve">.9, 1088.  </w:t>
      </w:r>
      <w:r>
        <w:rPr>
          <w:rFonts w:eastAsia="Calibri" w:cs="Times New Roman" w:ascii="Times New Roman" w:hAnsi="Times New Roman"/>
          <w:b/>
          <w:sz w:val="24"/>
          <w:szCs w:val="24"/>
          <w:lang w:val="en-US"/>
        </w:rPr>
        <w:t>WoS</w:t>
      </w:r>
      <w:r>
        <w:rPr>
          <w:rFonts w:eastAsia="Calibri" w:cs="Times New Roman" w:ascii="Times New Roman" w:hAnsi="Times New Roman"/>
          <w:b/>
          <w:sz w:val="24"/>
          <w:szCs w:val="24"/>
        </w:rPr>
        <w:t xml:space="preserve"> </w:t>
      </w:r>
      <w:r>
        <w:rPr>
          <w:rFonts w:eastAsia="Calibri" w:cs="Times New Roman" w:ascii="Times New Roman" w:hAnsi="Times New Roman"/>
          <w:b/>
          <w:sz w:val="24"/>
          <w:szCs w:val="24"/>
          <w:lang w:val="en-US"/>
        </w:rPr>
        <w:t>Q</w:t>
      </w:r>
      <w:r>
        <w:rPr>
          <w:rFonts w:eastAsia="Calibri" w:cs="Times New Roman" w:ascii="Times New Roman" w:hAnsi="Times New Roman"/>
          <w:b/>
          <w:sz w:val="24"/>
          <w:szCs w:val="24"/>
        </w:rPr>
        <w:t xml:space="preserve"> 2, </w:t>
      </w:r>
      <w:r>
        <w:rPr>
          <w:rFonts w:eastAsia="Calibri" w:cs="Times New Roman" w:ascii="Times New Roman" w:hAnsi="Times New Roman"/>
          <w:b/>
          <w:sz w:val="24"/>
          <w:szCs w:val="24"/>
          <w:lang w:val="en-US"/>
        </w:rPr>
        <w:t>IF</w:t>
      </w:r>
      <w:r>
        <w:rPr>
          <w:rFonts w:eastAsia="Calibri" w:cs="Times New Roman" w:ascii="Times New Roman" w:hAnsi="Times New Roman"/>
          <w:b/>
          <w:sz w:val="24"/>
          <w:szCs w:val="24"/>
        </w:rPr>
        <w:t xml:space="preserve">= 2.458  </w:t>
      </w:r>
      <w:r>
        <w:br w:type="page"/>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sz w:val="24"/>
          <w:szCs w:val="24"/>
        </w:rPr>
        <w:t xml:space="preserve">6. Разработана теория возмущений акустических мод в мелком море, вызванных вариациями глубины вдоль акустической трассы. Предложена методика вывода формул произвольного порядка для возмущения волновых чисел и собственных функций мод с учетом зависимости скорости звука от глубины в водном слое. Стандартная квантовомеханическая теория возмущений в данном случае напрямую неприменима. Формулы теории возмущений акустических мод представляют самостоятельный интерес, и, кроме того, имеют важное прикладное значения для развития методов геоакустической инверсии и методов моделирования трехмерных акустических полей в мелком море. В рамках всех математических методов, используемых при расчете поля акустического давления и основанных на методе нормальных волн (в частности, методе модовых параболических уравнений) необходимо рассчитывать их коэффициенты, зависящие от волновых чисел и собственных функций мод, а также от их производных. Соответствующие вычисления могут быть значительно ускорены путем использования предложенной теории возмущений. </w:t>
      </w:r>
      <w:r>
        <w:rPr>
          <w:rFonts w:cs="Times New Roman" w:ascii="Times New Roman" w:hAnsi="Times New Roman"/>
          <w:b/>
          <w:sz w:val="24"/>
          <w:szCs w:val="24"/>
        </w:rPr>
        <w:t>(П.С. Петров, А.Д. Захаренко, М.Ю. Трофимов, ТОИ</w:t>
      </w:r>
      <w:r>
        <w:rPr>
          <w:rFonts w:eastAsia="Calibri" w:cs="Times New Roman" w:ascii="Times New Roman" w:hAnsi="Times New Roman"/>
          <w:b/>
          <w:color w:val="000000"/>
          <w:kern w:val="2"/>
          <w:sz w:val="24"/>
          <w:szCs w:val="24"/>
        </w:rPr>
        <w:t xml:space="preserve"> ДВО РАН)</w:t>
      </w:r>
    </w:p>
    <w:p>
      <w:pPr>
        <w:pStyle w:val="Normal"/>
        <w:jc w:val="center"/>
        <w:rPr>
          <w:rFonts w:ascii="Times New Roman" w:hAnsi="Times New Roman" w:cs="Times New Roman"/>
          <w:sz w:val="24"/>
          <w:szCs w:val="24"/>
        </w:rPr>
      </w:pPr>
      <w:r>
        <w:rPr>
          <w:rFonts w:cs="Times New Roman" w:ascii="Times New Roman" w:hAnsi="Times New Roman"/>
          <w:sz w:val="24"/>
          <w:szCs w:val="24"/>
        </w:rPr>
      </w:r>
    </w:p>
    <w:tbl>
      <w:tblPr>
        <w:tblStyle w:val="a3"/>
        <w:tblpPr w:bottomFromText="0" w:horzAnchor="margin" w:leftFromText="180" w:rightFromText="180" w:tblpX="0" w:tblpY="-157" w:topFromText="0" w:vertAnchor="text"/>
        <w:tblW w:w="9355" w:type="dxa"/>
        <w:jc w:val="left"/>
        <w:tblInd w:w="0" w:type="dxa"/>
        <w:tblCellMar>
          <w:top w:w="0" w:type="dxa"/>
          <w:left w:w="108" w:type="dxa"/>
          <w:bottom w:w="0" w:type="dxa"/>
          <w:right w:w="108" w:type="dxa"/>
        </w:tblCellMar>
        <w:tblLook w:val="04a0" w:noVBand="1" w:noHBand="0" w:lastColumn="0" w:firstColumn="1" w:lastRow="0" w:firstRow="1"/>
      </w:tblPr>
      <w:tblGrid>
        <w:gridCol w:w="4579"/>
        <w:gridCol w:w="4775"/>
      </w:tblGrid>
      <w:tr>
        <w:trPr/>
        <w:tc>
          <w:tcPr>
            <w:tcW w:w="4579"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cs="Times New Roman"/>
                <w:sz w:val="24"/>
                <w:szCs w:val="24"/>
              </w:rPr>
            </w:pPr>
            <w:r>
              <w:rPr/>
              <w:drawing>
                <wp:inline distT="0" distB="8255" distL="0" distR="0">
                  <wp:extent cx="1868805" cy="1725930"/>
                  <wp:effectExtent l="0" t="0" r="0" b="0"/>
                  <wp:docPr id="8"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
                          <pic:cNvPicPr>
                            <a:picLocks noChangeAspect="1" noChangeArrowheads="1"/>
                          </pic:cNvPicPr>
                        </pic:nvPicPr>
                        <pic:blipFill>
                          <a:blip r:embed="rId9"/>
                          <a:stretch>
                            <a:fillRect/>
                          </a:stretch>
                        </pic:blipFill>
                        <pic:spPr bwMode="auto">
                          <a:xfrm>
                            <a:off x="0" y="0"/>
                            <a:ext cx="1868805" cy="1725930"/>
                          </a:xfrm>
                          <a:prstGeom prst="rect">
                            <a:avLst/>
                          </a:prstGeom>
                        </pic:spPr>
                      </pic:pic>
                    </a:graphicData>
                  </a:graphic>
                </wp:inline>
              </w:drawing>
            </w:r>
          </w:p>
        </w:tc>
        <w:tc>
          <w:tcPr>
            <w:tcW w:w="4775"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cs="Times New Roman"/>
                <w:sz w:val="24"/>
                <w:szCs w:val="24"/>
              </w:rPr>
            </w:pPr>
            <w:r>
              <w:rPr/>
              <w:drawing>
                <wp:inline distT="0" distB="0" distL="0" distR="0">
                  <wp:extent cx="2895600" cy="2384425"/>
                  <wp:effectExtent l="0" t="0" r="0" b="0"/>
                  <wp:docPr id="9"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 descr=""/>
                          <pic:cNvPicPr>
                            <a:picLocks noChangeAspect="1" noChangeArrowheads="1"/>
                          </pic:cNvPicPr>
                        </pic:nvPicPr>
                        <pic:blipFill>
                          <a:blip r:embed="rId10"/>
                          <a:stretch>
                            <a:fillRect/>
                          </a:stretch>
                        </pic:blipFill>
                        <pic:spPr bwMode="auto">
                          <a:xfrm>
                            <a:off x="0" y="0"/>
                            <a:ext cx="2895600" cy="2384425"/>
                          </a:xfrm>
                          <a:prstGeom prst="rect">
                            <a:avLst/>
                          </a:prstGeom>
                        </pic:spPr>
                      </pic:pic>
                    </a:graphicData>
                  </a:graphic>
                </wp:inline>
              </w:drawing>
            </w:r>
          </w:p>
        </w:tc>
      </w:tr>
    </w:tbl>
    <w:p>
      <w:pPr>
        <w:pStyle w:val="Normal"/>
        <w:jc w:val="both"/>
        <w:rPr>
          <w:rFonts w:ascii="Times New Roman" w:hAnsi="Times New Roman" w:cs="Times New Roman"/>
          <w:i/>
          <w:i/>
          <w:iCs/>
          <w:sz w:val="24"/>
          <w:szCs w:val="24"/>
        </w:rPr>
      </w:pPr>
      <w:r>
        <w:rPr>
          <w:rFonts w:cs="Times New Roman" w:ascii="Times New Roman" w:hAnsi="Times New Roman"/>
          <w:i/>
          <w:iCs/>
          <w:sz w:val="24"/>
          <w:szCs w:val="24"/>
        </w:rPr>
        <w:t>Рисунок.6. Возмущение собственных функций вариациями глубины (слева) и решение задачи о распространении звука в проницаемом клине с использованием разработанной теории возмущения (справа, (</w:t>
      </w:r>
      <w:r>
        <w:rPr>
          <w:rFonts w:cs="Times New Roman" w:ascii="Times New Roman" w:hAnsi="Times New Roman"/>
          <w:i/>
          <w:iCs/>
          <w:sz w:val="24"/>
          <w:szCs w:val="24"/>
          <w:lang w:val="en-US"/>
        </w:rPr>
        <w:t>a</w:t>
      </w:r>
      <w:r>
        <w:rPr>
          <w:rFonts w:cs="Times New Roman" w:ascii="Times New Roman" w:hAnsi="Times New Roman"/>
          <w:i/>
          <w:iCs/>
          <w:sz w:val="24"/>
          <w:szCs w:val="24"/>
        </w:rPr>
        <w:t>), (</w:t>
      </w:r>
      <w:r>
        <w:rPr>
          <w:rFonts w:cs="Times New Roman" w:ascii="Times New Roman" w:hAnsi="Times New Roman"/>
          <w:i/>
          <w:iCs/>
          <w:sz w:val="24"/>
          <w:szCs w:val="24"/>
          <w:lang w:val="en-US"/>
        </w:rPr>
        <w:t>b</w:t>
      </w:r>
      <w:r>
        <w:rPr>
          <w:rFonts w:cs="Times New Roman" w:ascii="Times New Roman" w:hAnsi="Times New Roman"/>
          <w:i/>
          <w:iCs/>
          <w:sz w:val="24"/>
          <w:szCs w:val="24"/>
        </w:rPr>
        <w:t>)) и с использованием точных значений волновых чисел мод (справа, (</w:t>
      </w:r>
      <w:r>
        <w:rPr>
          <w:rFonts w:cs="Times New Roman" w:ascii="Times New Roman" w:hAnsi="Times New Roman"/>
          <w:i/>
          <w:iCs/>
          <w:sz w:val="24"/>
          <w:szCs w:val="24"/>
          <w:lang w:val="en-US"/>
        </w:rPr>
        <w:t>c</w:t>
      </w:r>
      <w:r>
        <w:rPr>
          <w:rFonts w:cs="Times New Roman" w:ascii="Times New Roman" w:hAnsi="Times New Roman"/>
          <w:i/>
          <w:iCs/>
          <w:sz w:val="24"/>
          <w:szCs w:val="24"/>
        </w:rPr>
        <w:t>),(</w:t>
      </w:r>
      <w:r>
        <w:rPr>
          <w:rFonts w:cs="Times New Roman" w:ascii="Times New Roman" w:hAnsi="Times New Roman"/>
          <w:i/>
          <w:iCs/>
          <w:sz w:val="24"/>
          <w:szCs w:val="24"/>
          <w:lang w:val="en-US"/>
        </w:rPr>
        <w:t>d</w:t>
      </w:r>
      <w:r>
        <w:rPr>
          <w:rFonts w:cs="Times New Roman" w:ascii="Times New Roman" w:hAnsi="Times New Roman"/>
          <w:i/>
          <w:iCs/>
          <w:sz w:val="24"/>
          <w:szCs w:val="24"/>
        </w:rPr>
        <w:t>).</w:t>
      </w:r>
    </w:p>
    <w:p>
      <w:pPr>
        <w:pStyle w:val="Normal"/>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Petrov P.S., Trofimov M.Yu., Zakharenko A.D. Modal perturbation theory for the case of bathymetry variations in shallow-water acoustics // </w:t>
      </w:r>
      <w:r>
        <w:rPr>
          <w:rFonts w:cs="Times New Roman" w:ascii="Times New Roman" w:hAnsi="Times New Roman"/>
          <w:b/>
          <w:sz w:val="24"/>
          <w:szCs w:val="24"/>
          <w:lang w:val="en-US"/>
        </w:rPr>
        <w:t>Russian Journal of Mathematical Physics</w:t>
      </w:r>
      <w:r>
        <w:rPr>
          <w:rFonts w:cs="Times New Roman" w:ascii="Times New Roman" w:hAnsi="Times New Roman"/>
          <w:sz w:val="24"/>
          <w:szCs w:val="24"/>
          <w:lang w:val="en-US"/>
        </w:rPr>
        <w:t>. 2021. V. 28, No. 2, P. 257-262. (</w:t>
      </w:r>
      <w:r>
        <w:rPr>
          <w:rFonts w:eastAsia="Calibri" w:cs="Times New Roman" w:ascii="Times New Roman" w:hAnsi="Times New Roman"/>
          <w:b/>
          <w:bCs/>
          <w:color w:val="000000"/>
          <w:kern w:val="2"/>
          <w:sz w:val="24"/>
          <w:szCs w:val="24"/>
          <w:lang w:val="en-US"/>
        </w:rPr>
        <w:t>Q3 WoS</w:t>
      </w:r>
      <w:r>
        <w:rPr>
          <w:rFonts w:eastAsia="Calibri" w:cs="Times New Roman" w:ascii="Times New Roman" w:hAnsi="Times New Roman"/>
          <w:bCs/>
          <w:color w:val="000000"/>
          <w:kern w:val="2"/>
          <w:sz w:val="24"/>
          <w:szCs w:val="24"/>
          <w:lang w:val="en-US"/>
        </w:rPr>
        <w:t xml:space="preserve">  </w:t>
      </w:r>
      <w:r>
        <w:rPr>
          <w:rFonts w:cs="Times New Roman" w:ascii="Times New Roman" w:hAnsi="Times New Roman"/>
          <w:b/>
          <w:sz w:val="24"/>
          <w:szCs w:val="24"/>
          <w:lang w:val="en-US"/>
        </w:rPr>
        <w:t>Q1 Scopus</w:t>
      </w:r>
      <w:r>
        <w:rPr>
          <w:rFonts w:cs="Times New Roman" w:ascii="Times New Roman" w:hAnsi="Times New Roman"/>
          <w:sz w:val="24"/>
          <w:szCs w:val="24"/>
          <w:lang w:val="en-US"/>
        </w:rPr>
        <w:t xml:space="preserve">  </w:t>
      </w:r>
      <w:r>
        <w:rPr>
          <w:rFonts w:eastAsia="Calibri" w:cs="Times New Roman" w:ascii="Times New Roman" w:hAnsi="Times New Roman"/>
          <w:b/>
          <w:bCs/>
          <w:color w:val="000000"/>
          <w:kern w:val="2"/>
          <w:sz w:val="24"/>
          <w:szCs w:val="24"/>
          <w:lang w:val="en-US"/>
        </w:rPr>
        <w:t>IF 1,432</w:t>
      </w:r>
      <w:r>
        <w:rPr>
          <w:rFonts w:eastAsia="Calibri" w:cs="Times New Roman" w:ascii="Times New Roman" w:hAnsi="Times New Roman"/>
          <w:bCs/>
          <w:color w:val="000000"/>
          <w:kern w:val="2"/>
          <w:sz w:val="24"/>
          <w:szCs w:val="24"/>
          <w:lang w:val="en-US"/>
        </w:rPr>
        <w:t>)</w:t>
      </w:r>
    </w:p>
    <w:p>
      <w:pPr>
        <w:pStyle w:val="Normal"/>
        <w:jc w:val="both"/>
        <w:rPr>
          <w:rFonts w:ascii="Times New Roman" w:hAnsi="Times New Roman" w:cs="Times New Roman"/>
          <w:sz w:val="24"/>
          <w:szCs w:val="24"/>
        </w:rPr>
      </w:pPr>
      <w:r>
        <w:rPr>
          <w:rFonts w:cs="Times New Roman" w:ascii="Times New Roman" w:hAnsi="Times New Roman"/>
          <w:sz w:val="24"/>
          <w:szCs w:val="24"/>
          <w:lang w:val="en-US"/>
        </w:rPr>
        <w:t xml:space="preserve">Zakharenko A.D., Trofimov M.Yu., Petrov P.S. Improving the Performance of Mode-Based Sound Propagation Models by Using Perturbation Formulae for Eigenvalues and Eigenfunctions // </w:t>
      </w:r>
      <w:r>
        <w:rPr>
          <w:rFonts w:cs="Times New Roman" w:ascii="Times New Roman" w:hAnsi="Times New Roman"/>
          <w:b/>
          <w:sz w:val="24"/>
          <w:szCs w:val="24"/>
          <w:lang w:val="en-US"/>
        </w:rPr>
        <w:t>Journal of Marine Science and Engineering</w:t>
      </w:r>
      <w:r>
        <w:rPr>
          <w:rFonts w:cs="Times New Roman" w:ascii="Times New Roman" w:hAnsi="Times New Roman"/>
          <w:sz w:val="24"/>
          <w:szCs w:val="24"/>
          <w:lang w:val="en-US"/>
        </w:rPr>
        <w:t xml:space="preserve">. </w:t>
      </w:r>
      <w:r>
        <w:rPr>
          <w:rFonts w:cs="Times New Roman" w:ascii="Times New Roman" w:hAnsi="Times New Roman"/>
          <w:sz w:val="24"/>
          <w:szCs w:val="24"/>
        </w:rPr>
        <w:t xml:space="preserve">2021. </w:t>
      </w:r>
      <w:r>
        <w:rPr>
          <w:rFonts w:cs="Times New Roman" w:ascii="Times New Roman" w:hAnsi="Times New Roman"/>
          <w:sz w:val="24"/>
          <w:szCs w:val="24"/>
          <w:lang w:val="en-US"/>
        </w:rPr>
        <w:t>V</w:t>
      </w:r>
      <w:r>
        <w:rPr>
          <w:rFonts w:cs="Times New Roman" w:ascii="Times New Roman" w:hAnsi="Times New Roman"/>
          <w:sz w:val="24"/>
          <w:szCs w:val="24"/>
        </w:rPr>
        <w:t xml:space="preserve">.9, </w:t>
      </w:r>
      <w:r>
        <w:rPr>
          <w:rFonts w:cs="Times New Roman" w:ascii="Times New Roman" w:hAnsi="Times New Roman"/>
          <w:sz w:val="24"/>
          <w:szCs w:val="24"/>
          <w:lang w:val="en-US"/>
        </w:rPr>
        <w:t>No</w:t>
      </w:r>
      <w:r>
        <w:rPr>
          <w:rFonts w:cs="Times New Roman" w:ascii="Times New Roman" w:hAnsi="Times New Roman"/>
          <w:sz w:val="24"/>
          <w:szCs w:val="24"/>
        </w:rPr>
        <w:t xml:space="preserve">. 9. </w:t>
      </w:r>
      <w:r>
        <w:rPr>
          <w:rFonts w:cs="Times New Roman" w:ascii="Times New Roman" w:hAnsi="Times New Roman"/>
          <w:sz w:val="24"/>
          <w:szCs w:val="24"/>
          <w:lang w:val="en-US"/>
        </w:rPr>
        <w:t>Art</w:t>
      </w:r>
      <w:r>
        <w:rPr>
          <w:rFonts w:cs="Times New Roman" w:ascii="Times New Roman" w:hAnsi="Times New Roman"/>
          <w:sz w:val="24"/>
          <w:szCs w:val="24"/>
        </w:rPr>
        <w:t xml:space="preserve">. </w:t>
      </w:r>
      <w:r>
        <w:rPr>
          <w:rFonts w:cs="Times New Roman" w:ascii="Times New Roman" w:hAnsi="Times New Roman"/>
          <w:sz w:val="24"/>
          <w:szCs w:val="24"/>
          <w:lang w:val="en-US"/>
        </w:rPr>
        <w:t>No</w:t>
      </w:r>
      <w:r>
        <w:rPr>
          <w:rFonts w:cs="Times New Roman" w:ascii="Times New Roman" w:hAnsi="Times New Roman"/>
          <w:sz w:val="24"/>
          <w:szCs w:val="24"/>
        </w:rPr>
        <w:t>. 934. (</w:t>
      </w:r>
      <w:r>
        <w:rPr>
          <w:rFonts w:cs="Times New Roman" w:ascii="Times New Roman" w:hAnsi="Times New Roman"/>
          <w:b/>
          <w:sz w:val="24"/>
          <w:szCs w:val="24"/>
          <w:lang w:val="en-US"/>
        </w:rPr>
        <w:t>Q</w:t>
      </w:r>
      <w:r>
        <w:rPr>
          <w:rFonts w:cs="Times New Roman" w:ascii="Times New Roman" w:hAnsi="Times New Roman"/>
          <w:b/>
          <w:sz w:val="24"/>
          <w:szCs w:val="24"/>
        </w:rPr>
        <w:t xml:space="preserve">2 </w:t>
      </w:r>
      <w:r>
        <w:rPr>
          <w:rFonts w:cs="Times New Roman" w:ascii="Times New Roman" w:hAnsi="Times New Roman"/>
          <w:b/>
          <w:sz w:val="24"/>
          <w:szCs w:val="24"/>
          <w:lang w:val="en-US"/>
        </w:rPr>
        <w:t>WoS</w:t>
      </w:r>
      <w:r>
        <w:rPr>
          <w:rFonts w:cs="Times New Roman" w:ascii="Times New Roman" w:hAnsi="Times New Roman"/>
          <w:sz w:val="24"/>
          <w:szCs w:val="24"/>
        </w:rPr>
        <w:t xml:space="preserve">  </w:t>
      </w:r>
      <w:r>
        <w:rPr>
          <w:rFonts w:cs="Times New Roman" w:ascii="Times New Roman" w:hAnsi="Times New Roman"/>
          <w:b/>
          <w:sz w:val="24"/>
          <w:szCs w:val="24"/>
          <w:lang w:val="en-US"/>
        </w:rPr>
        <w:t>IF</w:t>
      </w:r>
      <w:r>
        <w:rPr>
          <w:rFonts w:cs="Times New Roman" w:ascii="Times New Roman" w:hAnsi="Times New Roman"/>
          <w:b/>
          <w:sz w:val="24"/>
          <w:szCs w:val="24"/>
        </w:rPr>
        <w:t xml:space="preserve"> 2,458</w:t>
      </w:r>
      <w:r>
        <w:rPr>
          <w:rFonts w:cs="Times New Roman" w:ascii="Times New Roman" w:hAnsi="Times New Roman"/>
          <w:sz w:val="24"/>
          <w:szCs w:val="24"/>
        </w:rPr>
        <w:t>).</w:t>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widowControl w:val="false"/>
        <w:spacing w:lineRule="auto" w:line="360" w:before="0" w:after="0"/>
        <w:ind w:left="66" w:hanging="0"/>
        <w:contextualSpacing/>
        <w:jc w:val="both"/>
        <w:rPr>
          <w:rFonts w:ascii="Times New Roman" w:hAnsi="Times New Roman" w:eastAsia="Calibri" w:cs="Times New Roman"/>
          <w:b/>
          <w:b/>
          <w:sz w:val="24"/>
          <w:szCs w:val="24"/>
          <w:lang w:eastAsia="ru-RU"/>
        </w:rPr>
      </w:pPr>
      <w:r>
        <w:rPr>
          <w:rFonts w:eastAsia="Calibri" w:cs="Times New Roman" w:ascii="Times New Roman" w:hAnsi="Times New Roman"/>
          <w:bCs/>
          <w:sz w:val="24"/>
          <w:szCs w:val="24"/>
          <w:lang w:eastAsia="ru-RU"/>
        </w:rPr>
        <w:t xml:space="preserve">7. Проанализированы пространственные спектры концентрации хлорофилла «а» (Chla) и температуры поверхности моря (SST) по данным судовых и спутниковых измерений в районе антициклонического вихря в Южно-Китайском море в феврале-марте 2004 г. </w:t>
      </w:r>
      <w:r>
        <w:rPr>
          <w:rFonts w:eastAsia="Calibri" w:cs="Times New Roman" w:ascii="Times New Roman" w:hAnsi="Times New Roman"/>
          <w:sz w:val="24"/>
          <w:szCs w:val="24"/>
          <w:lang w:eastAsia="ru-RU"/>
        </w:rPr>
        <w:t xml:space="preserve">Отмечено возможное влияние на пространственную изменчивость исследуемых характеристик двух типов динамики и биологических факторов, связанных с зимним цветением фитопланктона. Сравнение пространственных спектров, рассчитанных из судовых измерений </w:t>
      </w:r>
      <w:r>
        <w:rPr>
          <w:rFonts w:eastAsia="Calibri" w:cs="Times New Roman" w:ascii="Times New Roman" w:hAnsi="Times New Roman"/>
          <w:sz w:val="24"/>
          <w:szCs w:val="24"/>
          <w:lang w:val="en-US" w:eastAsia="ru-RU"/>
        </w:rPr>
        <w:t>Chla</w:t>
      </w:r>
      <w:r>
        <w:rPr>
          <w:rFonts w:eastAsia="Calibri" w:cs="Times New Roman" w:ascii="Times New Roman" w:hAnsi="Times New Roman"/>
          <w:sz w:val="24"/>
          <w:szCs w:val="24"/>
          <w:lang w:eastAsia="ru-RU"/>
        </w:rPr>
        <w:t xml:space="preserve"> и </w:t>
      </w:r>
      <w:r>
        <w:rPr>
          <w:rFonts w:eastAsia="Calibri" w:cs="Times New Roman" w:ascii="Times New Roman" w:hAnsi="Times New Roman"/>
          <w:sz w:val="24"/>
          <w:szCs w:val="24"/>
          <w:lang w:val="en-US" w:eastAsia="ru-RU"/>
        </w:rPr>
        <w:t>SST</w:t>
      </w:r>
      <w:r>
        <w:rPr>
          <w:rFonts w:eastAsia="Calibri" w:cs="Times New Roman" w:ascii="Times New Roman" w:hAnsi="Times New Roman"/>
          <w:sz w:val="24"/>
          <w:szCs w:val="24"/>
          <w:lang w:eastAsia="ru-RU"/>
        </w:rPr>
        <w:t xml:space="preserve"> (проточным флуориметром и термосолинографом), со спектрами, рассчитанными по спутниковым данным второго уровня (</w:t>
      </w:r>
      <w:r>
        <w:rPr>
          <w:rFonts w:eastAsia="Calibri" w:cs="Times New Roman" w:ascii="Times New Roman" w:hAnsi="Times New Roman"/>
          <w:sz w:val="24"/>
          <w:szCs w:val="24"/>
          <w:lang w:val="en-US" w:eastAsia="ru-RU"/>
        </w:rPr>
        <w:t>MODIS</w:t>
      </w:r>
      <w:r>
        <w:rPr>
          <w:rFonts w:eastAsia="Calibri" w:cs="Times New Roman" w:ascii="Times New Roman" w:hAnsi="Times New Roman"/>
          <w:sz w:val="24"/>
          <w:szCs w:val="24"/>
          <w:lang w:eastAsia="ru-RU"/>
        </w:rPr>
        <w:t>/</w:t>
      </w:r>
      <w:r>
        <w:rPr>
          <w:rFonts w:eastAsia="Calibri" w:cs="Times New Roman" w:ascii="Times New Roman" w:hAnsi="Times New Roman"/>
          <w:sz w:val="24"/>
          <w:szCs w:val="24"/>
          <w:lang w:val="en-US" w:eastAsia="ru-RU"/>
        </w:rPr>
        <w:t>Terra</w:t>
      </w:r>
      <w:r>
        <w:rPr>
          <w:rFonts w:eastAsia="Calibri" w:cs="Times New Roman" w:ascii="Times New Roman" w:hAnsi="Times New Roman"/>
          <w:sz w:val="24"/>
          <w:szCs w:val="24"/>
          <w:lang w:eastAsia="ru-RU"/>
        </w:rPr>
        <w:t xml:space="preserve"> и SeaWiFS/</w:t>
      </w:r>
      <w:r>
        <w:rPr>
          <w:rFonts w:eastAsia="Calibri" w:cs="Times New Roman" w:ascii="Times New Roman" w:hAnsi="Times New Roman"/>
          <w:sz w:val="24"/>
          <w:szCs w:val="24"/>
          <w:lang w:val="en-US" w:eastAsia="ru-RU"/>
        </w:rPr>
        <w:t>SeaStar</w:t>
      </w:r>
      <w:r>
        <w:rPr>
          <w:rFonts w:eastAsia="Calibri" w:cs="Times New Roman" w:ascii="Times New Roman" w:hAnsi="Times New Roman"/>
          <w:sz w:val="24"/>
          <w:szCs w:val="24"/>
          <w:lang w:eastAsia="ru-RU"/>
        </w:rPr>
        <w:t xml:space="preserve">), показало, что наклоны спектров SST совпадают в пределах ошибок, но наклоны спектров Chla отличаются в два раза, что указывает на значительное пространственное сглаживание полей Chla в спутниковых данных, а также связано в различиях в «природе» анализируемых сигналов (флуоресценция хлорофилла-а и поглощение света клетками фитопланктона). Полученные результаты могут быть использованы для изучения фитопланктонных сообществ, и разделения вкладов гидрологических и биологических процессов в поля цвета морской поверхности. </w:t>
      </w:r>
      <w:r>
        <w:rPr>
          <w:rFonts w:eastAsia="Calibri" w:cs="Times New Roman" w:ascii="Times New Roman" w:hAnsi="Times New Roman"/>
          <w:b/>
          <w:sz w:val="24"/>
          <w:szCs w:val="24"/>
          <w:lang w:eastAsia="ru-RU"/>
        </w:rPr>
        <w:t>(Клещева Т.И., Пермяков М.С., Салюк Р.А., Голик Ш.А., ТОИ ДВО РАН)</w:t>
      </w:r>
    </w:p>
    <w:p>
      <w:pPr>
        <w:pStyle w:val="Normal"/>
        <w:widowControl w:val="false"/>
        <w:spacing w:lineRule="auto" w:line="240" w:before="0" w:after="0"/>
        <w:ind w:left="66" w:hanging="0"/>
        <w:contextualSpacing/>
        <w:jc w:val="both"/>
        <w:rPr>
          <w:rFonts w:ascii="Times New Roman" w:hAnsi="Times New Roman" w:eastAsia="Calibri" w:cs="Times New Roman"/>
          <w:b/>
          <w:b/>
          <w:sz w:val="24"/>
          <w:szCs w:val="24"/>
          <w:lang w:eastAsia="ru-RU"/>
        </w:rPr>
      </w:pPr>
      <w:r>
        <w:rPr>
          <w:rFonts w:eastAsia="Calibri" w:cs="Times New Roman" w:ascii="Times New Roman" w:hAnsi="Times New Roman"/>
          <w:b/>
          <w:sz w:val="24"/>
          <w:szCs w:val="24"/>
          <w:lang w:eastAsia="ru-RU"/>
        </w:rPr>
      </w:r>
    </w:p>
    <w:p>
      <w:pPr>
        <w:pStyle w:val="Normal"/>
        <w:spacing w:lineRule="auto" w:line="240" w:before="0" w:after="0"/>
        <w:rPr>
          <w:rFonts w:ascii="Times New Roman" w:hAnsi="Times New Roman" w:eastAsia="Calibri" w:cs="Times New Roman"/>
          <w:sz w:val="24"/>
          <w:szCs w:val="24"/>
        </w:rPr>
      </w:pPr>
      <w:r>
        <w:rPr/>
        <w:drawing>
          <wp:inline distT="0" distB="0" distL="0" distR="3175">
            <wp:extent cx="5940425" cy="2762885"/>
            <wp:effectExtent l="0" t="0" r="0" b="0"/>
            <wp:docPr id="10"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descr=""/>
                    <pic:cNvPicPr>
                      <a:picLocks noChangeAspect="1" noChangeArrowheads="1"/>
                    </pic:cNvPicPr>
                  </pic:nvPicPr>
                  <pic:blipFill>
                    <a:blip r:embed="rId11"/>
                    <a:stretch>
                      <a:fillRect/>
                    </a:stretch>
                  </pic:blipFill>
                  <pic:spPr bwMode="auto">
                    <a:xfrm>
                      <a:off x="0" y="0"/>
                      <a:ext cx="5940425" cy="2762885"/>
                    </a:xfrm>
                    <a:prstGeom prst="rect">
                      <a:avLst/>
                    </a:prstGeom>
                  </pic:spPr>
                </pic:pic>
              </a:graphicData>
            </a:graphic>
          </wp:inline>
        </w:drawing>
      </w:r>
    </w:p>
    <w:p>
      <w:pPr>
        <w:pStyle w:val="Normal"/>
        <w:overflowPunct w:val="true"/>
        <w:spacing w:lineRule="auto" w:line="360" w:before="0" w:after="0"/>
        <w:textAlignment w:val="baseline"/>
        <w:rPr>
          <w:rFonts w:ascii="Times New Roman" w:hAnsi="Times New Roman" w:eastAsia="Times New Roman" w:cs="Times New Roman"/>
          <w:i/>
          <w:i/>
          <w:sz w:val="24"/>
          <w:szCs w:val="24"/>
          <w:lang w:eastAsia="de-DE"/>
        </w:rPr>
      </w:pPr>
      <w:r>
        <w:rPr>
          <w:rFonts w:eastAsia="Times New Roman" w:cs="Times New Roman" w:ascii="Times New Roman" w:hAnsi="Times New Roman"/>
          <w:i/>
          <w:sz w:val="24"/>
          <w:szCs w:val="24"/>
          <w:lang w:eastAsia="de-DE"/>
        </w:rPr>
        <w:t xml:space="preserve">Рисунок 7. Пространственная изменчивость </w:t>
      </w:r>
      <w:r>
        <w:rPr>
          <w:rFonts w:eastAsia="Times New Roman" w:cs="Times New Roman" w:ascii="Times New Roman" w:hAnsi="Times New Roman"/>
          <w:i/>
          <w:sz w:val="24"/>
          <w:szCs w:val="24"/>
          <w:lang w:val="en-US" w:eastAsia="de-DE"/>
        </w:rPr>
        <w:t>Chla</w:t>
      </w:r>
      <w:r>
        <w:rPr>
          <w:rFonts w:eastAsia="Times New Roman" w:cs="Times New Roman" w:ascii="Times New Roman" w:hAnsi="Times New Roman"/>
          <w:i/>
          <w:sz w:val="24"/>
          <w:szCs w:val="24"/>
          <w:lang w:eastAsia="de-DE"/>
        </w:rPr>
        <w:t xml:space="preserve"> и </w:t>
      </w:r>
      <w:r>
        <w:rPr>
          <w:rFonts w:eastAsia="Times New Roman" w:cs="Times New Roman" w:ascii="Times New Roman" w:hAnsi="Times New Roman"/>
          <w:i/>
          <w:sz w:val="24"/>
          <w:szCs w:val="24"/>
          <w:lang w:val="en-US" w:eastAsia="de-DE"/>
        </w:rPr>
        <w:t>SST</w:t>
      </w:r>
      <w:r>
        <w:rPr>
          <w:rFonts w:eastAsia="Times New Roman" w:cs="Times New Roman" w:ascii="Times New Roman" w:hAnsi="Times New Roman"/>
          <w:i/>
          <w:sz w:val="24"/>
          <w:szCs w:val="24"/>
          <w:lang w:eastAsia="de-DE"/>
        </w:rPr>
        <w:t xml:space="preserve"> вдоль судового маршрута и карты аномалий уровня моря (</w:t>
      </w:r>
      <w:r>
        <w:rPr>
          <w:rFonts w:eastAsia="Times New Roman" w:cs="Times New Roman" w:ascii="Times New Roman" w:hAnsi="Times New Roman"/>
          <w:i/>
          <w:sz w:val="24"/>
          <w:szCs w:val="24"/>
          <w:lang w:val="en-US" w:eastAsia="de-DE"/>
        </w:rPr>
        <w:t>SLA</w:t>
      </w:r>
      <w:r>
        <w:rPr>
          <w:rFonts w:eastAsia="Times New Roman" w:cs="Times New Roman" w:ascii="Times New Roman" w:hAnsi="Times New Roman"/>
          <w:i/>
          <w:sz w:val="24"/>
          <w:szCs w:val="24"/>
          <w:lang w:eastAsia="de-DE"/>
        </w:rPr>
        <w:t>) и вектора направления геострофических течений.</w:t>
      </w:r>
    </w:p>
    <w:p>
      <w:pPr>
        <w:pStyle w:val="Normal"/>
        <w:spacing w:lineRule="auto" w:line="36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widowControl w:val="false"/>
        <w:spacing w:lineRule="auto" w:line="360" w:before="0" w:after="0"/>
        <w:ind w:left="66" w:hanging="0"/>
        <w:contextualSpacing/>
        <w:jc w:val="both"/>
        <w:rPr>
          <w:lang w:val="en-US"/>
        </w:rPr>
      </w:pPr>
      <w:r>
        <w:rPr>
          <w:rFonts w:eastAsia="Calibri" w:cs="Times New Roman" w:ascii="Times New Roman" w:hAnsi="Times New Roman"/>
          <w:sz w:val="24"/>
          <w:szCs w:val="24"/>
          <w:lang w:val="en-US" w:eastAsia="ru-RU"/>
        </w:rPr>
        <w:t xml:space="preserve">Kleshcheva T.I., Permyakov M.S., Salyuk P.A., Golik I.A. Wavenumber spectra of the chlorophyll “a” concentration and the sea surface temperature in the area of the anticyclonic eddy in the South China Sea. // </w:t>
      </w:r>
      <w:r>
        <w:rPr>
          <w:rFonts w:eastAsia="Calibri" w:cs="Times New Roman" w:ascii="Times New Roman" w:hAnsi="Times New Roman"/>
          <w:b/>
          <w:sz w:val="24"/>
          <w:szCs w:val="24"/>
          <w:lang w:val="en-US" w:eastAsia="ru-RU"/>
        </w:rPr>
        <w:t>Journal of Oceanography</w:t>
      </w:r>
      <w:r>
        <w:rPr>
          <w:rFonts w:eastAsia="Calibri" w:cs="Times New Roman" w:ascii="Times New Roman" w:hAnsi="Times New Roman"/>
          <w:sz w:val="24"/>
          <w:szCs w:val="24"/>
          <w:lang w:val="en-US" w:eastAsia="ru-RU"/>
        </w:rPr>
        <w:t>. 2021. V. 77. P. 259-267. Doi: 10.1007/s10872-020-00567-1. (</w:t>
      </w:r>
      <w:r>
        <w:rPr>
          <w:rFonts w:eastAsia="Calibri" w:cs="Times New Roman" w:ascii="Times New Roman" w:hAnsi="Times New Roman"/>
          <w:b/>
          <w:sz w:val="24"/>
          <w:szCs w:val="24"/>
          <w:lang w:val="en-US" w:eastAsia="ru-RU"/>
        </w:rPr>
        <w:t>Q3 WoS  Q2 Scopus  IF 1,840</w:t>
      </w:r>
      <w:r>
        <w:rPr>
          <w:rFonts w:eastAsia="Calibri" w:cs="Times New Roman" w:ascii="Times New Roman" w:hAnsi="Times New Roman"/>
          <w:sz w:val="24"/>
          <w:szCs w:val="24"/>
          <w:lang w:val="en-US" w:eastAsia="ru-RU"/>
        </w:rPr>
        <w:t>).</w:t>
      </w:r>
    </w:p>
    <w:p>
      <w:pPr>
        <w:pStyle w:val="Normal"/>
        <w:spacing w:lineRule="auto" w:line="360" w:before="0" w:after="0"/>
        <w:jc w:val="both"/>
        <w:rPr/>
      </w:pPr>
      <w:r>
        <w:rPr/>
      </w:r>
    </w:p>
    <w:sectPr>
      <w:type w:val="nextPage"/>
      <w:pgSz w:w="11906" w:h="16838"/>
      <w:pgMar w:left="1701" w:right="850"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Times New Roman">
    <w:charset w:val="01"/>
    <w:family w:val="roman"/>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85e57"/>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Jlqj4b" w:customStyle="1">
    <w:name w:val="jlqj4b"/>
    <w:basedOn w:val="DefaultParagraphFont"/>
    <w:qFormat/>
    <w:rsid w:val="00285e57"/>
    <w:rPr/>
  </w:style>
  <w:style w:type="paragraph" w:styleId="Style14">
    <w:name w:val="Заголовок"/>
    <w:basedOn w:val="Normal"/>
    <w:next w:val="Style15"/>
    <w:qFormat/>
    <w:pPr>
      <w:keepNext w:val="true"/>
      <w:spacing w:before="240" w:after="120"/>
    </w:pPr>
    <w:rPr>
      <w:rFonts w:ascii="Liberation Sans" w:hAnsi="Liberation Sans" w:eastAsia="WenQuanYi Micro Hei" w:cs="Lohit Devanagari"/>
      <w:sz w:val="28"/>
      <w:szCs w:val="28"/>
    </w:rPr>
  </w:style>
  <w:style w:type="paragraph" w:styleId="Style15">
    <w:name w:val="Body Text"/>
    <w:basedOn w:val="Normal"/>
    <w:pPr>
      <w:spacing w:lineRule="auto" w:line="288" w:before="0" w:after="140"/>
    </w:pPr>
    <w:rPr/>
  </w:style>
  <w:style w:type="paragraph" w:styleId="Style16">
    <w:name w:val="List"/>
    <w:basedOn w:val="Style15"/>
    <w:pPr/>
    <w:rPr>
      <w:rFonts w:cs="Lohit Devanagari"/>
    </w:rPr>
  </w:style>
  <w:style w:type="paragraph" w:styleId="Style17">
    <w:name w:val="Caption"/>
    <w:basedOn w:val="Normal"/>
    <w:qFormat/>
    <w:pPr>
      <w:suppressLineNumbers/>
      <w:spacing w:before="120" w:after="120"/>
    </w:pPr>
    <w:rPr>
      <w:rFonts w:cs="Lohit Devanagari"/>
      <w:i/>
      <w:iCs/>
      <w:sz w:val="24"/>
      <w:szCs w:val="24"/>
    </w:rPr>
  </w:style>
  <w:style w:type="paragraph" w:styleId="Style18">
    <w:name w:val="Указатель"/>
    <w:basedOn w:val="Normal"/>
    <w:qFormat/>
    <w:pPr>
      <w:suppressLineNumbers/>
    </w:pPr>
    <w:rPr>
      <w:rFonts w:cs="Lohit Devanagari"/>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3">
    <w:name w:val="Table Grid"/>
    <w:basedOn w:val="a1"/>
    <w:uiPriority w:val="39"/>
    <w:rsid w:val="00285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
    <w:name w:val="Сетка таблицы1"/>
    <w:basedOn w:val="a1"/>
    <w:uiPriority w:val="39"/>
    <w:rsid w:val="00c809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
    <w:name w:val="Сетка таблицы2"/>
    <w:basedOn w:val="a1"/>
    <w:uiPriority w:val="39"/>
    <w:rsid w:val="00c809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0BFBA-2F88-4FBD-9313-315B7059A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Application>LibreOffice/5.4.6.2$Linux_X86_64 LibreOffice_project/40m0$Build-2</Application>
  <Pages>9</Pages>
  <Words>1664</Words>
  <Characters>11190</Characters>
  <CharactersWithSpaces>12848</CharactersWithSpac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2022-01-10T00:18:00Z</dcterms:created>
  <dc:creator>Mojsherovskay</dc:creator>
  <dc:description/>
  <dc:language>ru-RU</dc:language>
  <cp:lastModifiedBy/>
  <dcterms:modified xsi:type="dcterms:W3CDTF">2022-01-10T10:47:58Z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